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B4C0" w14:textId="69787780" w:rsidR="0015316B" w:rsidRPr="00882D2B" w:rsidRDefault="0015316B" w:rsidP="001C0C0A">
      <w:pPr>
        <w:pStyle w:val="Chatperno"/>
        <w:rPr>
          <w:lang w:val="en-IE"/>
        </w:rPr>
      </w:pPr>
      <w:r w:rsidRPr="00882D2B">
        <w:rPr>
          <w:lang w:val="en-IE"/>
        </w:rPr>
        <w:t>Chapter</w:t>
      </w:r>
      <w:r w:rsidR="001D08FC" w:rsidRPr="00882D2B">
        <w:rPr>
          <w:lang w:val="en-IE"/>
        </w:rPr>
        <w:t xml:space="preserve"> </w:t>
      </w:r>
      <w:r w:rsidR="00955F7E" w:rsidRPr="00882D2B">
        <w:rPr>
          <w:lang w:val="en-IE"/>
        </w:rPr>
        <w:t>3</w:t>
      </w:r>
      <w:r w:rsidRPr="00882D2B">
        <w:rPr>
          <w:lang w:val="en-IE"/>
        </w:rPr>
        <w:t>.1.x</w:t>
      </w:r>
      <w:r w:rsidR="00CE7A6F">
        <w:rPr>
          <w:lang w:val="en-IE"/>
        </w:rPr>
        <w:t>.</w:t>
      </w:r>
    </w:p>
    <w:p w14:paraId="2C15F787" w14:textId="3EFCB2FD" w:rsidR="0015316B" w:rsidRPr="00882D2B" w:rsidRDefault="0015316B" w:rsidP="0041378A">
      <w:pPr>
        <w:pStyle w:val="Chaptertitle"/>
        <w:rPr>
          <w:lang w:val="en-IE"/>
        </w:rPr>
      </w:pPr>
      <w:r w:rsidRPr="00882D2B">
        <w:rPr>
          <w:color w:val="000000" w:themeColor="text1"/>
          <w:lang w:val="en-IE"/>
        </w:rPr>
        <w:t>Ma</w:t>
      </w:r>
      <w:r w:rsidR="00CF7BC3" w:rsidRPr="00882D2B">
        <w:rPr>
          <w:color w:val="000000" w:themeColor="text1"/>
          <w:lang w:val="en-IE"/>
        </w:rPr>
        <w:t>M</w:t>
      </w:r>
      <w:r w:rsidRPr="00882D2B">
        <w:rPr>
          <w:color w:val="000000" w:themeColor="text1"/>
          <w:lang w:val="en-IE"/>
        </w:rPr>
        <w:t>malian</w:t>
      </w:r>
      <w:r w:rsidRPr="00882D2B">
        <w:rPr>
          <w:lang w:val="en-IE"/>
        </w:rPr>
        <w:t xml:space="preserve"> tuberculosis</w:t>
      </w:r>
      <w:r w:rsidR="008F2986">
        <w:rPr>
          <w:lang w:val="en-IE"/>
        </w:rPr>
        <w:t xml:space="preserve"> (</w:t>
      </w:r>
      <w:r w:rsidR="008F2986">
        <w:t>Infection with</w:t>
      </w:r>
      <w:r w:rsidR="008F2986">
        <w:rPr>
          <w:i/>
          <w:iCs/>
        </w:rPr>
        <w:t xml:space="preserve"> Mycobacterium tuberculosis</w:t>
      </w:r>
      <w:r w:rsidR="008F2986">
        <w:t xml:space="preserve"> complex)</w:t>
      </w:r>
    </w:p>
    <w:p w14:paraId="61C5BE59" w14:textId="77777777" w:rsidR="0015316B" w:rsidRPr="00882D2B" w:rsidRDefault="0015316B" w:rsidP="0041378A">
      <w:pPr>
        <w:pStyle w:val="Summarytitle"/>
        <w:rPr>
          <w:lang w:val="en-IE"/>
        </w:rPr>
      </w:pPr>
      <w:r w:rsidRPr="00882D2B">
        <w:rPr>
          <w:lang w:val="en-IE"/>
        </w:rPr>
        <w:t>SUMMARY</w:t>
      </w:r>
    </w:p>
    <w:p w14:paraId="7A244108" w14:textId="2C47AE76" w:rsidR="0015316B" w:rsidRPr="00882D2B" w:rsidRDefault="00701C89" w:rsidP="005A0832">
      <w:pPr>
        <w:pStyle w:val="sumtexte"/>
        <w:rPr>
          <w:u w:val="double"/>
          <w:lang w:val="en-IE"/>
        </w:rPr>
      </w:pPr>
      <w:r w:rsidRPr="00882D2B">
        <w:rPr>
          <w:lang w:val="en-IE"/>
        </w:rPr>
        <w:t>Mammalian</w:t>
      </w:r>
      <w:r w:rsidR="0015316B" w:rsidRPr="00882D2B">
        <w:rPr>
          <w:lang w:val="en-IE"/>
        </w:rPr>
        <w:t xml:space="preserve"> tuberculosis is a chronic bacterial disease of animals and humans caused by </w:t>
      </w:r>
      <w:r w:rsidR="00E44DE5" w:rsidRPr="00882D2B">
        <w:rPr>
          <w:lang w:val="en-IE"/>
        </w:rPr>
        <w:t xml:space="preserve">members </w:t>
      </w:r>
      <w:r w:rsidR="00DA203A" w:rsidRPr="00882D2B">
        <w:rPr>
          <w:lang w:val="en-IE"/>
        </w:rPr>
        <w:t>o</w:t>
      </w:r>
      <w:r w:rsidR="00E44DE5" w:rsidRPr="00882D2B">
        <w:rPr>
          <w:lang w:val="en-IE"/>
        </w:rPr>
        <w:t xml:space="preserve">f the </w:t>
      </w:r>
      <w:bookmarkStart w:id="0" w:name="_Hlk66865938"/>
      <w:r w:rsidR="0015316B" w:rsidRPr="00882D2B">
        <w:rPr>
          <w:i w:val="0"/>
          <w:iCs w:val="0"/>
          <w:lang w:val="en-IE"/>
        </w:rPr>
        <w:t xml:space="preserve">Mycobacterium </w:t>
      </w:r>
      <w:r w:rsidR="00D0374D" w:rsidRPr="00882D2B">
        <w:rPr>
          <w:i w:val="0"/>
          <w:iCs w:val="0"/>
          <w:lang w:val="en-IE"/>
        </w:rPr>
        <w:t xml:space="preserve">tuberculosis </w:t>
      </w:r>
      <w:r w:rsidR="00D0374D" w:rsidRPr="00882D2B">
        <w:rPr>
          <w:lang w:val="en-IE"/>
        </w:rPr>
        <w:t>complex</w:t>
      </w:r>
      <w:bookmarkEnd w:id="0"/>
      <w:r w:rsidR="00B12007" w:rsidRPr="00882D2B">
        <w:rPr>
          <w:lang w:val="en-IE"/>
        </w:rPr>
        <w:t xml:space="preserve"> </w:t>
      </w:r>
      <w:r w:rsidR="00B12007" w:rsidRPr="00882D2B">
        <w:rPr>
          <w:i w:val="0"/>
          <w:iCs w:val="0"/>
          <w:lang w:val="en-IE"/>
        </w:rPr>
        <w:t>(</w:t>
      </w:r>
      <w:r w:rsidR="00B12007" w:rsidRPr="00882D2B">
        <w:rPr>
          <w:lang w:val="en-IE"/>
        </w:rPr>
        <w:t>M</w:t>
      </w:r>
      <w:r w:rsidR="00925FEF" w:rsidRPr="00882D2B">
        <w:rPr>
          <w:lang w:val="en-IE"/>
        </w:rPr>
        <w:t>TBC</w:t>
      </w:r>
      <w:r w:rsidR="00925FEF" w:rsidRPr="00882D2B">
        <w:rPr>
          <w:i w:val="0"/>
          <w:iCs w:val="0"/>
          <w:lang w:val="en-IE"/>
        </w:rPr>
        <w:t>)</w:t>
      </w:r>
      <w:r w:rsidR="0015316B" w:rsidRPr="00882D2B">
        <w:rPr>
          <w:lang w:val="en-IE"/>
        </w:rPr>
        <w:t>.</w:t>
      </w:r>
      <w:r w:rsidR="00362A4B" w:rsidRPr="00882D2B">
        <w:rPr>
          <w:lang w:val="en-IE"/>
        </w:rPr>
        <w:t xml:space="preserve"> </w:t>
      </w:r>
      <w:r w:rsidR="000E1114" w:rsidRPr="00882D2B">
        <w:rPr>
          <w:lang w:val="en-IE"/>
        </w:rPr>
        <w:t xml:space="preserve">Within the complex, important variants include </w:t>
      </w:r>
      <w:r w:rsidR="000E1114" w:rsidRPr="00882D2B">
        <w:rPr>
          <w:i w:val="0"/>
          <w:iCs w:val="0"/>
          <w:lang w:val="en-IE"/>
        </w:rPr>
        <w:t>M.</w:t>
      </w:r>
      <w:r w:rsidR="00861AC4" w:rsidRPr="00882D2B">
        <w:rPr>
          <w:i w:val="0"/>
          <w:iCs w:val="0"/>
          <w:lang w:val="en-IE"/>
        </w:rPr>
        <w:t> </w:t>
      </w:r>
      <w:proofErr w:type="spellStart"/>
      <w:r w:rsidR="000E1114" w:rsidRPr="00882D2B">
        <w:rPr>
          <w:i w:val="0"/>
          <w:iCs w:val="0"/>
          <w:lang w:val="en-IE"/>
        </w:rPr>
        <w:t>bovis</w:t>
      </w:r>
      <w:proofErr w:type="spellEnd"/>
      <w:r w:rsidR="00A12331">
        <w:rPr>
          <w:i w:val="0"/>
          <w:iCs w:val="0"/>
          <w:lang w:val="en-IE"/>
        </w:rPr>
        <w:t>,</w:t>
      </w:r>
      <w:r w:rsidR="000E1114" w:rsidRPr="00882D2B">
        <w:rPr>
          <w:lang w:val="en-IE"/>
        </w:rPr>
        <w:t xml:space="preserve"> </w:t>
      </w:r>
      <w:r w:rsidR="00ED3223" w:rsidRPr="00882D2B">
        <w:rPr>
          <w:i w:val="0"/>
          <w:iCs w:val="0"/>
          <w:lang w:val="en-IE"/>
        </w:rPr>
        <w:t>M.</w:t>
      </w:r>
      <w:r w:rsidR="00861AC4" w:rsidRPr="00882D2B">
        <w:rPr>
          <w:i w:val="0"/>
          <w:iCs w:val="0"/>
          <w:lang w:val="en-IE"/>
        </w:rPr>
        <w:t> </w:t>
      </w:r>
      <w:proofErr w:type="spellStart"/>
      <w:r w:rsidR="00ED3223" w:rsidRPr="00882D2B">
        <w:rPr>
          <w:i w:val="0"/>
          <w:iCs w:val="0"/>
          <w:lang w:val="en-IE"/>
        </w:rPr>
        <w:t>caprae</w:t>
      </w:r>
      <w:proofErr w:type="spellEnd"/>
      <w:r w:rsidR="00A12331" w:rsidRPr="00A12331">
        <w:rPr>
          <w:lang w:val="en-IE"/>
        </w:rPr>
        <w:t xml:space="preserve"> </w:t>
      </w:r>
      <w:r w:rsidR="00A12331" w:rsidRPr="00882D2B">
        <w:rPr>
          <w:lang w:val="en-IE"/>
        </w:rPr>
        <w:t>and</w:t>
      </w:r>
      <w:r w:rsidR="00A12331">
        <w:rPr>
          <w:lang w:val="en-IE"/>
        </w:rPr>
        <w:t xml:space="preserve"> </w:t>
      </w:r>
      <w:r w:rsidR="00A12331" w:rsidRPr="00A12331">
        <w:rPr>
          <w:i w:val="0"/>
          <w:iCs w:val="0"/>
          <w:lang w:val="en-IE"/>
        </w:rPr>
        <w:t>M. tuberculosis</w:t>
      </w:r>
      <w:r w:rsidR="00ED3223" w:rsidRPr="00882D2B">
        <w:rPr>
          <w:lang w:val="en-IE"/>
        </w:rPr>
        <w:t>.</w:t>
      </w:r>
      <w:r w:rsidR="0015316B" w:rsidRPr="00882D2B">
        <w:rPr>
          <w:lang w:val="en-IE"/>
        </w:rPr>
        <w:t xml:space="preserve"> </w:t>
      </w:r>
      <w:r w:rsidR="003D400E" w:rsidRPr="00882D2B">
        <w:rPr>
          <w:lang w:val="en-IE"/>
        </w:rPr>
        <w:t>The disease is global in distribution</w:t>
      </w:r>
      <w:r w:rsidR="0015316B" w:rsidRPr="00882D2B">
        <w:rPr>
          <w:lang w:val="en-IE"/>
        </w:rPr>
        <w:t xml:space="preserve">, </w:t>
      </w:r>
      <w:r w:rsidR="007C7092" w:rsidRPr="00882D2B">
        <w:rPr>
          <w:lang w:val="en-IE"/>
        </w:rPr>
        <w:t>with</w:t>
      </w:r>
      <w:r w:rsidR="003512B2" w:rsidRPr="00882D2B">
        <w:rPr>
          <w:lang w:val="en-IE"/>
        </w:rPr>
        <w:t xml:space="preserve"> only a few countries considered free</w:t>
      </w:r>
      <w:r w:rsidR="00335933" w:rsidRPr="00882D2B">
        <w:rPr>
          <w:lang w:val="en-IE"/>
        </w:rPr>
        <w:t>.</w:t>
      </w:r>
      <w:r w:rsidR="003512B2" w:rsidRPr="00882D2B">
        <w:rPr>
          <w:lang w:val="en-IE"/>
        </w:rPr>
        <w:t xml:space="preserve"> </w:t>
      </w:r>
      <w:r w:rsidR="00335933" w:rsidRPr="00882D2B">
        <w:rPr>
          <w:lang w:val="en-IE"/>
        </w:rPr>
        <w:t xml:space="preserve">It </w:t>
      </w:r>
      <w:r w:rsidR="0015316B" w:rsidRPr="00882D2B">
        <w:rPr>
          <w:lang w:val="en-IE"/>
        </w:rPr>
        <w:t xml:space="preserve">is a major infectious disease </w:t>
      </w:r>
      <w:r w:rsidR="0003235D" w:rsidRPr="00882D2B">
        <w:rPr>
          <w:lang w:val="en-IE"/>
        </w:rPr>
        <w:t>of</w:t>
      </w:r>
      <w:r w:rsidR="0015316B" w:rsidRPr="00882D2B">
        <w:rPr>
          <w:lang w:val="en-IE"/>
        </w:rPr>
        <w:t xml:space="preserve"> cattle, other domesticated animals, and certain wildlife populations</w:t>
      </w:r>
      <w:r w:rsidR="00F268E5" w:rsidRPr="00C3427E">
        <w:rPr>
          <w:highlight w:val="yellow"/>
          <w:u w:val="double"/>
          <w:lang w:val="en-IE"/>
        </w:rPr>
        <w:t xml:space="preserve">, and </w:t>
      </w:r>
      <w:r w:rsidR="00E8202B" w:rsidRPr="00C3427E">
        <w:rPr>
          <w:highlight w:val="yellow"/>
          <w:u w:val="double"/>
          <w:lang w:val="en-IE"/>
        </w:rPr>
        <w:t>is</w:t>
      </w:r>
      <w:r w:rsidR="00E2251A" w:rsidRPr="00C3427E">
        <w:rPr>
          <w:highlight w:val="yellow"/>
          <w:u w:val="double"/>
          <w:lang w:val="en-IE"/>
        </w:rPr>
        <w:t xml:space="preserve"> </w:t>
      </w:r>
      <w:r w:rsidR="00F268E5" w:rsidRPr="00C3427E">
        <w:rPr>
          <w:highlight w:val="yellow"/>
          <w:u w:val="double"/>
          <w:lang w:val="en-IE"/>
        </w:rPr>
        <w:t>a barrier to trade</w:t>
      </w:r>
      <w:r w:rsidR="0015316B" w:rsidRPr="00882D2B">
        <w:rPr>
          <w:lang w:val="en-IE"/>
        </w:rPr>
        <w:t xml:space="preserve">. </w:t>
      </w:r>
      <w:r w:rsidR="00BE5794" w:rsidRPr="00882D2B">
        <w:rPr>
          <w:lang w:val="en-IE"/>
        </w:rPr>
        <w:t>Z</w:t>
      </w:r>
      <w:r w:rsidR="00D55E99" w:rsidRPr="00882D2B">
        <w:rPr>
          <w:lang w:val="en-IE"/>
        </w:rPr>
        <w:t xml:space="preserve">oonotic tuberculosis </w:t>
      </w:r>
      <w:r w:rsidR="00BE5794" w:rsidRPr="00882D2B">
        <w:rPr>
          <w:lang w:val="en-IE"/>
        </w:rPr>
        <w:t>resulting from t</w:t>
      </w:r>
      <w:r w:rsidR="0015316B" w:rsidRPr="00882D2B">
        <w:rPr>
          <w:lang w:val="en-IE"/>
        </w:rPr>
        <w:t>ransmission to humans constitutes a public health problem</w:t>
      </w:r>
      <w:r w:rsidR="000A1086" w:rsidRPr="00882D2B">
        <w:rPr>
          <w:lang w:val="en-IE"/>
        </w:rPr>
        <w:t>.</w:t>
      </w:r>
      <w:r w:rsidR="004C56AC" w:rsidRPr="00882D2B">
        <w:rPr>
          <w:lang w:val="en-IE"/>
        </w:rPr>
        <w:t xml:space="preserve"> </w:t>
      </w:r>
    </w:p>
    <w:p w14:paraId="008EDB9F" w14:textId="72686D80" w:rsidR="008515A1" w:rsidRPr="00882D2B" w:rsidRDefault="00CA1DFF" w:rsidP="005A0832">
      <w:pPr>
        <w:pStyle w:val="sumtexte"/>
        <w:rPr>
          <w:lang w:val="en-IE"/>
        </w:rPr>
      </w:pPr>
      <w:r w:rsidRPr="00882D2B">
        <w:rPr>
          <w:lang w:val="en-IE"/>
        </w:rPr>
        <w:t xml:space="preserve">Aerosol exposure to the agent is the most frequent route of infection, but infection by ingestion of contaminated material also occurs. </w:t>
      </w:r>
      <w:r w:rsidR="0015316B" w:rsidRPr="00882D2B">
        <w:rPr>
          <w:lang w:val="en-IE"/>
        </w:rPr>
        <w:t xml:space="preserve">Characteristic tuberculous lesions occur most frequently in the lungs and the retropharyngeal, bronchial and mediastinal lymph nodes. </w:t>
      </w:r>
      <w:r w:rsidR="008515A1" w:rsidRPr="00882D2B">
        <w:rPr>
          <w:lang w:val="en-IE"/>
        </w:rPr>
        <w:t xml:space="preserve">Tuberculosis is typically a chronic disease, with clinical signs that may appear after several months to years. </w:t>
      </w:r>
      <w:r w:rsidR="001A47EB" w:rsidRPr="00882D2B">
        <w:rPr>
          <w:lang w:val="en-IE"/>
        </w:rPr>
        <w:t xml:space="preserve">Infection is often subclinical; when present, clinical signs are not specifically distinctive and can include weakness, anorexia, emaciation, dyspnoea, enlargement of lymph nodes, and cough, particularly with advanced tuberculosis. </w:t>
      </w:r>
      <w:r w:rsidRPr="00882D2B">
        <w:rPr>
          <w:lang w:val="en-IE"/>
        </w:rPr>
        <w:t xml:space="preserve">Tuberculosis in cattle, goats and deer </w:t>
      </w:r>
      <w:r w:rsidR="00A90082" w:rsidRPr="00882D2B">
        <w:rPr>
          <w:lang w:val="en-IE"/>
        </w:rPr>
        <w:t xml:space="preserve">is usually diagnosed in the live animal by tests for cellular immunity </w:t>
      </w:r>
      <w:r w:rsidR="00A90082" w:rsidRPr="00882D2B">
        <w:rPr>
          <w:i w:val="0"/>
          <w:iCs w:val="0"/>
          <w:lang w:val="en-IE"/>
        </w:rPr>
        <w:t>(</w:t>
      </w:r>
      <w:r w:rsidR="00A90082" w:rsidRPr="00882D2B">
        <w:rPr>
          <w:lang w:val="en-IE"/>
        </w:rPr>
        <w:t>skin test or gamma interferon test</w:t>
      </w:r>
      <w:r w:rsidR="00A90082" w:rsidRPr="00882D2B">
        <w:rPr>
          <w:i w:val="0"/>
          <w:iCs w:val="0"/>
          <w:lang w:val="en-IE"/>
        </w:rPr>
        <w:t>)</w:t>
      </w:r>
      <w:r w:rsidR="00A90082" w:rsidRPr="00882D2B">
        <w:rPr>
          <w:lang w:val="en-IE"/>
        </w:rPr>
        <w:t xml:space="preserve">. Enzyme-linked immunosorbent assay </w:t>
      </w:r>
      <w:r w:rsidR="00CA6CEB" w:rsidRPr="00C3427E">
        <w:rPr>
          <w:i w:val="0"/>
          <w:iCs w:val="0"/>
          <w:lang w:val="en-IE"/>
        </w:rPr>
        <w:t>(</w:t>
      </w:r>
      <w:r w:rsidR="00CA6CEB">
        <w:rPr>
          <w:lang w:val="en-IE"/>
        </w:rPr>
        <w:t>ELISA</w:t>
      </w:r>
      <w:r w:rsidR="00CA6CEB" w:rsidRPr="00C3427E">
        <w:rPr>
          <w:i w:val="0"/>
          <w:iCs w:val="0"/>
          <w:lang w:val="en-IE"/>
        </w:rPr>
        <w:t>)</w:t>
      </w:r>
      <w:r w:rsidR="00CA6CEB">
        <w:rPr>
          <w:lang w:val="en-IE"/>
        </w:rPr>
        <w:t xml:space="preserve"> </w:t>
      </w:r>
      <w:r w:rsidR="00237463" w:rsidRPr="00C3427E">
        <w:rPr>
          <w:highlight w:val="yellow"/>
          <w:u w:val="double"/>
          <w:lang w:val="en-IE"/>
        </w:rPr>
        <w:t>and lateral flow tests</w:t>
      </w:r>
      <w:r w:rsidR="00237463">
        <w:rPr>
          <w:lang w:val="en-IE"/>
        </w:rPr>
        <w:t xml:space="preserve"> </w:t>
      </w:r>
      <w:r w:rsidR="00A90082" w:rsidRPr="00882D2B">
        <w:rPr>
          <w:lang w:val="en-IE"/>
        </w:rPr>
        <w:t xml:space="preserve">for </w:t>
      </w:r>
      <w:r w:rsidR="00664D39" w:rsidRPr="00CF7676">
        <w:rPr>
          <w:highlight w:val="yellow"/>
          <w:u w:val="double"/>
          <w:lang w:val="en-IE"/>
        </w:rPr>
        <w:t xml:space="preserve">serum </w:t>
      </w:r>
      <w:r w:rsidR="00A90082" w:rsidRPr="00CF7676">
        <w:rPr>
          <w:highlight w:val="yellow"/>
          <w:u w:val="double"/>
          <w:lang w:val="en-IE"/>
        </w:rPr>
        <w:t>antibod</w:t>
      </w:r>
      <w:r w:rsidR="00664D39" w:rsidRPr="00CF7676">
        <w:rPr>
          <w:highlight w:val="yellow"/>
          <w:u w:val="double"/>
          <w:lang w:val="en-IE"/>
        </w:rPr>
        <w:t>ies</w:t>
      </w:r>
      <w:r w:rsidR="00C3427E" w:rsidRPr="00C3427E">
        <w:rPr>
          <w:highlight w:val="yellow"/>
          <w:lang w:val="en-IE"/>
        </w:rPr>
        <w:t xml:space="preserve"> </w:t>
      </w:r>
      <w:r w:rsidR="00C3427E" w:rsidRPr="00C3427E">
        <w:rPr>
          <w:strike/>
          <w:highlight w:val="yellow"/>
          <w:lang w:val="en-IE"/>
        </w:rPr>
        <w:t>antibod</w:t>
      </w:r>
      <w:r w:rsidR="00A90082" w:rsidRPr="00C3427E">
        <w:rPr>
          <w:strike/>
          <w:highlight w:val="yellow"/>
          <w:lang w:val="en-IE"/>
        </w:rPr>
        <w:t>y</w:t>
      </w:r>
      <w:r w:rsidR="00A90082" w:rsidRPr="00C3427E">
        <w:rPr>
          <w:strike/>
          <w:lang w:val="en-IE"/>
        </w:rPr>
        <w:t xml:space="preserve"> </w:t>
      </w:r>
      <w:r w:rsidR="00A90082" w:rsidRPr="00882D2B">
        <w:rPr>
          <w:lang w:val="en-IE"/>
        </w:rPr>
        <w:t>can be useful for wildlife studies</w:t>
      </w:r>
      <w:r w:rsidR="00850959" w:rsidRPr="00882D2B">
        <w:rPr>
          <w:lang w:val="en-IE"/>
        </w:rPr>
        <w:t>.</w:t>
      </w:r>
      <w:r w:rsidR="00A90082" w:rsidRPr="00882D2B">
        <w:rPr>
          <w:lang w:val="en-IE"/>
        </w:rPr>
        <w:t xml:space="preserve"> </w:t>
      </w:r>
      <w:r w:rsidR="001A47EB" w:rsidRPr="00882D2B">
        <w:rPr>
          <w:lang w:val="en-IE"/>
        </w:rPr>
        <w:t>After death, infection is diagnosed by necropsy, histopathological, bacteriological and nucleic acid detection techniques.</w:t>
      </w:r>
    </w:p>
    <w:p w14:paraId="17B4F7BC" w14:textId="3FFA7A92" w:rsidR="0015316B" w:rsidRPr="00882D2B" w:rsidRDefault="00D27FBC" w:rsidP="005A0832">
      <w:pPr>
        <w:pStyle w:val="sumtexte"/>
        <w:rPr>
          <w:lang w:val="en-IE"/>
        </w:rPr>
      </w:pPr>
      <w:r w:rsidRPr="00882D2B">
        <w:rPr>
          <w:b/>
          <w:bCs/>
          <w:lang w:val="en-IE"/>
        </w:rPr>
        <w:t>Detection</w:t>
      </w:r>
      <w:r w:rsidR="0015316B" w:rsidRPr="00882D2B">
        <w:rPr>
          <w:b/>
          <w:bCs/>
          <w:lang w:val="en-IE"/>
        </w:rPr>
        <w:t xml:space="preserve"> of the agent:</w:t>
      </w:r>
      <w:r w:rsidR="0015316B" w:rsidRPr="00882D2B">
        <w:rPr>
          <w:lang w:val="en-IE"/>
        </w:rPr>
        <w:t xml:space="preserve"> Bacteriological examinations may consist of the demonstration of acid-fast bacilli by microscopic examination</w:t>
      </w:r>
      <w:r w:rsidR="008A11F8" w:rsidRPr="00882D2B">
        <w:rPr>
          <w:lang w:val="en-IE"/>
        </w:rPr>
        <w:t xml:space="preserve"> of tissues or</w:t>
      </w:r>
      <w:r w:rsidR="00D2622F" w:rsidRPr="00882D2B">
        <w:rPr>
          <w:lang w:val="en-IE"/>
        </w:rPr>
        <w:t xml:space="preserve"> secretions</w:t>
      </w:r>
      <w:r w:rsidR="0015316B" w:rsidRPr="00882D2B">
        <w:rPr>
          <w:lang w:val="en-IE"/>
        </w:rPr>
        <w:t xml:space="preserve">, which provides presumptive </w:t>
      </w:r>
      <w:r w:rsidR="00243D8D" w:rsidRPr="00882D2B">
        <w:rPr>
          <w:lang w:val="en-IE"/>
        </w:rPr>
        <w:t>identification</w:t>
      </w:r>
      <w:r w:rsidR="0015316B" w:rsidRPr="00882D2B">
        <w:rPr>
          <w:i w:val="0"/>
          <w:iCs w:val="0"/>
          <w:lang w:val="en-IE"/>
        </w:rPr>
        <w:t>.</w:t>
      </w:r>
      <w:r w:rsidR="0015316B" w:rsidRPr="00882D2B">
        <w:rPr>
          <w:lang w:val="en-IE"/>
        </w:rPr>
        <w:t xml:space="preserve"> </w:t>
      </w:r>
      <w:r w:rsidR="008A5F6E" w:rsidRPr="00882D2B">
        <w:rPr>
          <w:lang w:val="en-IE"/>
        </w:rPr>
        <w:t>Confirmat</w:t>
      </w:r>
      <w:r w:rsidR="00B417A9" w:rsidRPr="00882D2B">
        <w:rPr>
          <w:lang w:val="en-IE"/>
        </w:rPr>
        <w:t>ory tests include t</w:t>
      </w:r>
      <w:r w:rsidR="0015316B" w:rsidRPr="00882D2B">
        <w:rPr>
          <w:lang w:val="en-IE"/>
        </w:rPr>
        <w:t xml:space="preserve">he isolation of mycobacteria on selective culture media and their subsequent identification by cultural and biochemical tests or DNA techniques. </w:t>
      </w:r>
      <w:r w:rsidR="00B12007" w:rsidRPr="00882D2B">
        <w:rPr>
          <w:lang w:val="en-IE"/>
        </w:rPr>
        <w:t>The polymerase chain reaction</w:t>
      </w:r>
      <w:r w:rsidR="00C62E90" w:rsidRPr="00882D2B">
        <w:rPr>
          <w:lang w:val="en-IE"/>
        </w:rPr>
        <w:t xml:space="preserve"> </w:t>
      </w:r>
      <w:r w:rsidR="00C62E90" w:rsidRPr="00882D2B">
        <w:rPr>
          <w:i w:val="0"/>
          <w:iCs w:val="0"/>
          <w:lang w:val="en-IE"/>
        </w:rPr>
        <w:t>(</w:t>
      </w:r>
      <w:r w:rsidR="00C62E90" w:rsidRPr="00882D2B">
        <w:rPr>
          <w:lang w:val="en-IE"/>
        </w:rPr>
        <w:t>PCR</w:t>
      </w:r>
      <w:r w:rsidR="00C62E90" w:rsidRPr="00882D2B">
        <w:rPr>
          <w:i w:val="0"/>
          <w:iCs w:val="0"/>
          <w:lang w:val="en-IE"/>
        </w:rPr>
        <w:t>)</w:t>
      </w:r>
      <w:r w:rsidR="00B12007" w:rsidRPr="00882D2B">
        <w:rPr>
          <w:lang w:val="en-IE"/>
        </w:rPr>
        <w:t xml:space="preserve"> test</w:t>
      </w:r>
      <w:r w:rsidR="005C7B32" w:rsidRPr="00882D2B">
        <w:rPr>
          <w:lang w:val="en-IE"/>
        </w:rPr>
        <w:t xml:space="preserve"> </w:t>
      </w:r>
      <w:r w:rsidR="00B12007" w:rsidRPr="00882D2B">
        <w:rPr>
          <w:lang w:val="en-IE"/>
        </w:rPr>
        <w:t>may be</w:t>
      </w:r>
      <w:r w:rsidR="005C7B32" w:rsidRPr="00882D2B">
        <w:rPr>
          <w:lang w:val="en-IE"/>
        </w:rPr>
        <w:t xml:space="preserve"> used for the detection of members of the MTBC in clinical specimens. </w:t>
      </w:r>
      <w:r w:rsidR="00DE47C5" w:rsidRPr="00C3427E">
        <w:rPr>
          <w:highlight w:val="yellow"/>
          <w:u w:val="double"/>
          <w:lang w:val="en-IE"/>
        </w:rPr>
        <w:t>S</w:t>
      </w:r>
      <w:r w:rsidR="00CB37C9" w:rsidRPr="00C3427E">
        <w:rPr>
          <w:highlight w:val="yellow"/>
          <w:u w:val="double"/>
          <w:lang w:val="en-IE"/>
        </w:rPr>
        <w:t xml:space="preserve">pacer oligonucleotide typing </w:t>
      </w:r>
      <w:r w:rsidR="00CB37C9" w:rsidRPr="00C3427E">
        <w:rPr>
          <w:i w:val="0"/>
          <w:iCs w:val="0"/>
          <w:highlight w:val="yellow"/>
          <w:u w:val="double"/>
          <w:lang w:val="en-IE"/>
        </w:rPr>
        <w:t>(</w:t>
      </w:r>
      <w:bookmarkStart w:id="1" w:name="_Hlk95749875"/>
      <w:proofErr w:type="spellStart"/>
      <w:r w:rsidR="00C3427E" w:rsidRPr="00C3427E">
        <w:rPr>
          <w:highlight w:val="yellow"/>
          <w:u w:val="double"/>
          <w:lang w:val="en-IE"/>
        </w:rPr>
        <w:t>spoligotyping</w:t>
      </w:r>
      <w:bookmarkEnd w:id="1"/>
      <w:proofErr w:type="spellEnd"/>
      <w:r w:rsidR="00CB37C9" w:rsidRPr="00C3427E">
        <w:rPr>
          <w:i w:val="0"/>
          <w:iCs w:val="0"/>
          <w:highlight w:val="yellow"/>
          <w:u w:val="double"/>
          <w:lang w:val="en-IE"/>
        </w:rPr>
        <w:t>)</w:t>
      </w:r>
      <w:r w:rsidR="00BC463A" w:rsidRPr="00C3427E">
        <w:rPr>
          <w:strike/>
          <w:highlight w:val="yellow"/>
          <w:lang w:val="en-IE"/>
        </w:rPr>
        <w:t>, a PCR-based fingerprinti</w:t>
      </w:r>
      <w:r w:rsidR="00DE2372" w:rsidRPr="00C3427E">
        <w:rPr>
          <w:strike/>
          <w:highlight w:val="yellow"/>
          <w:lang w:val="en-IE"/>
        </w:rPr>
        <w:t xml:space="preserve">ng </w:t>
      </w:r>
      <w:r w:rsidR="00BC463A" w:rsidRPr="00C3427E">
        <w:rPr>
          <w:strike/>
          <w:highlight w:val="yellow"/>
          <w:lang w:val="en-IE"/>
        </w:rPr>
        <w:t>method</w:t>
      </w:r>
      <w:r w:rsidR="00677F56" w:rsidRPr="00C3427E">
        <w:rPr>
          <w:strike/>
          <w:highlight w:val="yellow"/>
          <w:lang w:val="en-IE"/>
        </w:rPr>
        <w:t>,</w:t>
      </w:r>
      <w:r w:rsidR="00677F56" w:rsidRPr="00C3427E">
        <w:rPr>
          <w:highlight w:val="yellow"/>
          <w:lang w:val="en-IE"/>
        </w:rPr>
        <w:t xml:space="preserve"> </w:t>
      </w:r>
      <w:r w:rsidR="00E6791C" w:rsidRPr="00CF7676">
        <w:rPr>
          <w:highlight w:val="yellow"/>
          <w:u w:val="double"/>
          <w:lang w:val="en-IE"/>
        </w:rPr>
        <w:t xml:space="preserve">mycobacterial interspersed repeat units </w:t>
      </w:r>
      <w:r w:rsidR="00C3427E" w:rsidRPr="00CF7676">
        <w:rPr>
          <w:highlight w:val="yellow"/>
          <w:u w:val="double"/>
          <w:lang w:val="en-IE"/>
        </w:rPr>
        <w:t>–</w:t>
      </w:r>
      <w:r w:rsidR="00E6791C" w:rsidRPr="00CF7676">
        <w:rPr>
          <w:highlight w:val="yellow"/>
          <w:u w:val="double"/>
          <w:lang w:val="en-IE"/>
        </w:rPr>
        <w:t xml:space="preserve"> variable number tandem repeat </w:t>
      </w:r>
      <w:r w:rsidR="00E6791C" w:rsidRPr="00CF7676">
        <w:rPr>
          <w:i w:val="0"/>
          <w:iCs w:val="0"/>
          <w:highlight w:val="yellow"/>
          <w:u w:val="double"/>
          <w:lang w:val="en-IE"/>
        </w:rPr>
        <w:t>(</w:t>
      </w:r>
      <w:r w:rsidR="00E6791C" w:rsidRPr="00CF7676">
        <w:rPr>
          <w:highlight w:val="yellow"/>
          <w:u w:val="double"/>
          <w:lang w:val="en-IE"/>
        </w:rPr>
        <w:t>MIRU-VNTR</w:t>
      </w:r>
      <w:r w:rsidR="00E6791C" w:rsidRPr="00CF7676">
        <w:rPr>
          <w:i w:val="0"/>
          <w:iCs w:val="0"/>
          <w:highlight w:val="yellow"/>
          <w:u w:val="double"/>
          <w:lang w:val="en-IE"/>
        </w:rPr>
        <w:t>)</w:t>
      </w:r>
      <w:r w:rsidR="003C7CF3" w:rsidRPr="00CF7676">
        <w:rPr>
          <w:lang w:val="en-IE"/>
        </w:rPr>
        <w:t xml:space="preserve"> </w:t>
      </w:r>
      <w:r w:rsidR="00DE47C5" w:rsidRPr="00CF7676">
        <w:rPr>
          <w:lang w:val="en-IE"/>
        </w:rPr>
        <w:t xml:space="preserve">and whole genome sequencing </w:t>
      </w:r>
      <w:r w:rsidR="00677F56" w:rsidRPr="00CF7676">
        <w:rPr>
          <w:lang w:val="en-IE"/>
        </w:rPr>
        <w:t>are used for genotyping members of the MTBC</w:t>
      </w:r>
      <w:r w:rsidR="00200C1B" w:rsidRPr="00CF7676">
        <w:rPr>
          <w:lang w:val="en-IE"/>
        </w:rPr>
        <w:t xml:space="preserve"> for purposes of strain tracking </w:t>
      </w:r>
      <w:r w:rsidR="00200C1B">
        <w:rPr>
          <w:lang w:val="en-IE"/>
        </w:rPr>
        <w:t>and epidemiology</w:t>
      </w:r>
      <w:r w:rsidR="00677F56">
        <w:rPr>
          <w:lang w:val="en-IE"/>
        </w:rPr>
        <w:t>.</w:t>
      </w:r>
    </w:p>
    <w:p w14:paraId="79E767C5" w14:textId="42B0DCCC" w:rsidR="0015316B" w:rsidRPr="00882D2B" w:rsidRDefault="0015316B">
      <w:pPr>
        <w:pStyle w:val="sumtexte"/>
        <w:rPr>
          <w:lang w:val="en-IE"/>
        </w:rPr>
      </w:pPr>
      <w:r w:rsidRPr="00882D2B">
        <w:rPr>
          <w:b/>
          <w:bCs/>
          <w:lang w:val="en-IE"/>
        </w:rPr>
        <w:t>Delayed hypersensitivity test</w:t>
      </w:r>
      <w:r w:rsidR="009420B5" w:rsidRPr="00882D2B">
        <w:rPr>
          <w:b/>
          <w:bCs/>
          <w:lang w:val="en-IE"/>
        </w:rPr>
        <w:t xml:space="preserve"> </w:t>
      </w:r>
      <w:r w:rsidR="00EB2110" w:rsidRPr="00882D2B">
        <w:rPr>
          <w:b/>
          <w:bCs/>
          <w:i w:val="0"/>
          <w:iCs w:val="0"/>
          <w:lang w:val="en-IE"/>
        </w:rPr>
        <w:t>(</w:t>
      </w:r>
      <w:r w:rsidR="00EB2110" w:rsidRPr="00882D2B">
        <w:rPr>
          <w:b/>
          <w:bCs/>
          <w:lang w:val="en-IE"/>
        </w:rPr>
        <w:t>tuberculin skin test</w:t>
      </w:r>
      <w:r w:rsidR="00EB2110" w:rsidRPr="00882D2B">
        <w:rPr>
          <w:b/>
          <w:bCs/>
          <w:i w:val="0"/>
          <w:iCs w:val="0"/>
          <w:lang w:val="en-IE"/>
        </w:rPr>
        <w:t>)</w:t>
      </w:r>
      <w:r w:rsidRPr="00882D2B">
        <w:rPr>
          <w:b/>
          <w:bCs/>
          <w:i w:val="0"/>
          <w:iCs w:val="0"/>
          <w:lang w:val="en-IE"/>
        </w:rPr>
        <w:t>:</w:t>
      </w:r>
      <w:r w:rsidRPr="00882D2B">
        <w:rPr>
          <w:lang w:val="en-IE"/>
        </w:rPr>
        <w:t xml:space="preserve"> This test is the standard method for </w:t>
      </w:r>
      <w:r w:rsidR="00854547" w:rsidRPr="00882D2B">
        <w:rPr>
          <w:lang w:val="en-IE"/>
        </w:rPr>
        <w:t>detection of</w:t>
      </w:r>
      <w:r w:rsidRPr="00882D2B">
        <w:rPr>
          <w:lang w:val="en-IE"/>
        </w:rPr>
        <w:t xml:space="preserve"> tuberculosis</w:t>
      </w:r>
      <w:r w:rsidR="003161CC" w:rsidRPr="00882D2B">
        <w:rPr>
          <w:lang w:val="en-IE"/>
        </w:rPr>
        <w:t xml:space="preserve"> in </w:t>
      </w:r>
      <w:r w:rsidR="00603F17" w:rsidRPr="00882D2B">
        <w:rPr>
          <w:lang w:val="en-IE"/>
        </w:rPr>
        <w:t>liv</w:t>
      </w:r>
      <w:r w:rsidR="0000207E" w:rsidRPr="00882D2B">
        <w:rPr>
          <w:lang w:val="en-IE"/>
        </w:rPr>
        <w:t xml:space="preserve">e </w:t>
      </w:r>
      <w:r w:rsidR="00F41591" w:rsidRPr="00882D2B">
        <w:rPr>
          <w:lang w:val="en-IE"/>
        </w:rPr>
        <w:t xml:space="preserve">cattle, small ruminants, </w:t>
      </w:r>
      <w:r w:rsidR="00A57BD4" w:rsidRPr="00882D2B">
        <w:rPr>
          <w:lang w:val="en-IE"/>
        </w:rPr>
        <w:t>deer</w:t>
      </w:r>
      <w:r w:rsidR="00135646">
        <w:rPr>
          <w:lang w:val="en-IE"/>
        </w:rPr>
        <w:t>, pigs</w:t>
      </w:r>
      <w:r w:rsidR="00F41591" w:rsidRPr="00882D2B">
        <w:rPr>
          <w:lang w:val="en-IE"/>
        </w:rPr>
        <w:t xml:space="preserve"> and camelids, among other species</w:t>
      </w:r>
      <w:r w:rsidRPr="00882D2B">
        <w:rPr>
          <w:lang w:val="en-IE"/>
        </w:rPr>
        <w:t xml:space="preserve">. </w:t>
      </w:r>
      <w:r w:rsidR="00C759D7" w:rsidRPr="00882D2B">
        <w:rPr>
          <w:lang w:val="en-IE"/>
        </w:rPr>
        <w:t>The single test</w:t>
      </w:r>
      <w:r w:rsidRPr="00882D2B">
        <w:rPr>
          <w:lang w:val="en-IE"/>
        </w:rPr>
        <w:t xml:space="preserve"> involves measuring </w:t>
      </w:r>
      <w:r w:rsidR="00A61172" w:rsidRPr="00882D2B">
        <w:rPr>
          <w:lang w:val="en-IE"/>
        </w:rPr>
        <w:t xml:space="preserve">the </w:t>
      </w:r>
      <w:r w:rsidRPr="00882D2B">
        <w:rPr>
          <w:lang w:val="en-IE"/>
        </w:rPr>
        <w:t xml:space="preserve">skin </w:t>
      </w:r>
      <w:r w:rsidR="00A61172" w:rsidRPr="00882D2B">
        <w:rPr>
          <w:lang w:val="en-IE"/>
        </w:rPr>
        <w:t>response</w:t>
      </w:r>
      <w:r w:rsidR="00B332A2" w:rsidRPr="00882D2B">
        <w:rPr>
          <w:lang w:val="en-IE"/>
        </w:rPr>
        <w:t xml:space="preserve"> </w:t>
      </w:r>
      <w:r w:rsidR="00132790" w:rsidRPr="00882D2B">
        <w:rPr>
          <w:lang w:val="en-IE"/>
        </w:rPr>
        <w:t>after</w:t>
      </w:r>
      <w:r w:rsidRPr="00882D2B">
        <w:rPr>
          <w:lang w:val="en-IE"/>
        </w:rPr>
        <w:t xml:space="preserve"> </w:t>
      </w:r>
      <w:r w:rsidR="00F61D4B" w:rsidRPr="00882D2B">
        <w:rPr>
          <w:lang w:val="en-IE"/>
        </w:rPr>
        <w:t xml:space="preserve">intradermal </w:t>
      </w:r>
      <w:r w:rsidRPr="00882D2B">
        <w:rPr>
          <w:lang w:val="en-IE"/>
        </w:rPr>
        <w:t>injecti</w:t>
      </w:r>
      <w:r w:rsidR="00B332A2" w:rsidRPr="00882D2B">
        <w:rPr>
          <w:lang w:val="en-IE"/>
        </w:rPr>
        <w:t>o</w:t>
      </w:r>
      <w:r w:rsidRPr="00882D2B">
        <w:rPr>
          <w:lang w:val="en-IE"/>
        </w:rPr>
        <w:t>n</w:t>
      </w:r>
      <w:r w:rsidR="00B332A2" w:rsidRPr="00882D2B">
        <w:rPr>
          <w:lang w:val="en-IE"/>
        </w:rPr>
        <w:t xml:space="preserve"> of</w:t>
      </w:r>
      <w:r w:rsidRPr="00882D2B">
        <w:rPr>
          <w:lang w:val="en-IE"/>
        </w:rPr>
        <w:t xml:space="preserve"> tuberculin </w:t>
      </w:r>
      <w:r w:rsidR="006A23B1" w:rsidRPr="00CA1DFF">
        <w:rPr>
          <w:i w:val="0"/>
          <w:iCs w:val="0"/>
          <w:lang w:val="en-IE"/>
        </w:rPr>
        <w:t>(</w:t>
      </w:r>
      <w:r w:rsidR="00CB3136" w:rsidRPr="00882D2B">
        <w:rPr>
          <w:lang w:val="en-IE"/>
        </w:rPr>
        <w:t>purified protein derivative</w:t>
      </w:r>
      <w:r w:rsidR="00861AC4" w:rsidRPr="00882D2B">
        <w:rPr>
          <w:lang w:val="en-IE"/>
        </w:rPr>
        <w:t xml:space="preserve"> –</w:t>
      </w:r>
      <w:r w:rsidR="00CB3136" w:rsidRPr="00882D2B">
        <w:rPr>
          <w:lang w:val="en-IE"/>
        </w:rPr>
        <w:t xml:space="preserve"> PPD</w:t>
      </w:r>
      <w:r w:rsidR="00CB3136" w:rsidRPr="00882D2B">
        <w:rPr>
          <w:i w:val="0"/>
          <w:iCs w:val="0"/>
          <w:lang w:val="en-IE"/>
        </w:rPr>
        <w:t>)</w:t>
      </w:r>
      <w:r w:rsidRPr="00882D2B">
        <w:rPr>
          <w:lang w:val="en-IE"/>
        </w:rPr>
        <w:t>.</w:t>
      </w:r>
      <w:r w:rsidR="00677F56">
        <w:rPr>
          <w:lang w:val="en-IE"/>
        </w:rPr>
        <w:t xml:space="preserve"> </w:t>
      </w:r>
      <w:r w:rsidRPr="00882D2B">
        <w:rPr>
          <w:lang w:val="en-IE"/>
        </w:rPr>
        <w:t xml:space="preserve">The comparative tuberculin </w:t>
      </w:r>
      <w:r w:rsidR="0055055A" w:rsidRPr="00882D2B">
        <w:rPr>
          <w:lang w:val="en-IE"/>
        </w:rPr>
        <w:t xml:space="preserve">skin </w:t>
      </w:r>
      <w:r w:rsidRPr="00882D2B">
        <w:rPr>
          <w:lang w:val="en-IE"/>
        </w:rPr>
        <w:t xml:space="preserve">test with bovine </w:t>
      </w:r>
      <w:r w:rsidR="00CA1DFF" w:rsidRPr="00CA1DFF">
        <w:rPr>
          <w:i w:val="0"/>
          <w:iCs w:val="0"/>
          <w:lang w:val="en-IE"/>
        </w:rPr>
        <w:t>(</w:t>
      </w:r>
      <w:r w:rsidR="00CA1DFF">
        <w:rPr>
          <w:lang w:val="en-IE"/>
        </w:rPr>
        <w:t>PPD-B</w:t>
      </w:r>
      <w:r w:rsidR="00CA1DFF" w:rsidRPr="00CA1DFF">
        <w:rPr>
          <w:i w:val="0"/>
          <w:iCs w:val="0"/>
          <w:lang w:val="en-IE"/>
        </w:rPr>
        <w:t>)</w:t>
      </w:r>
      <w:r w:rsidR="00CA1DFF">
        <w:rPr>
          <w:lang w:val="en-IE"/>
        </w:rPr>
        <w:t xml:space="preserve"> </w:t>
      </w:r>
      <w:r w:rsidR="00CA1DFF" w:rsidRPr="00882D2B">
        <w:rPr>
          <w:lang w:val="en-IE"/>
        </w:rPr>
        <w:t xml:space="preserve">and avian </w:t>
      </w:r>
      <w:r w:rsidR="00CA1DFF" w:rsidRPr="00CA1DFF">
        <w:rPr>
          <w:i w:val="0"/>
          <w:iCs w:val="0"/>
          <w:lang w:val="en-IE"/>
        </w:rPr>
        <w:t>(</w:t>
      </w:r>
      <w:r w:rsidR="00CA1DFF">
        <w:rPr>
          <w:lang w:val="en-IE"/>
        </w:rPr>
        <w:t>PPD-A</w:t>
      </w:r>
      <w:r w:rsidR="00CA1DFF" w:rsidRPr="00CA1DFF">
        <w:rPr>
          <w:i w:val="0"/>
          <w:iCs w:val="0"/>
          <w:lang w:val="en-IE"/>
        </w:rPr>
        <w:t xml:space="preserve">) </w:t>
      </w:r>
      <w:r w:rsidR="00CA1DFF" w:rsidRPr="00882D2B">
        <w:rPr>
          <w:lang w:val="en-IE"/>
        </w:rPr>
        <w:t xml:space="preserve">tuberculin </w:t>
      </w:r>
      <w:r w:rsidRPr="00882D2B">
        <w:rPr>
          <w:lang w:val="en-IE"/>
        </w:rPr>
        <w:t>is used mainly to differentiate between animals infected with</w:t>
      </w:r>
      <w:r w:rsidR="009A4557" w:rsidRPr="00882D2B">
        <w:rPr>
          <w:lang w:val="en-IE"/>
        </w:rPr>
        <w:t xml:space="preserve"> the</w:t>
      </w:r>
      <w:r w:rsidRPr="00882D2B">
        <w:rPr>
          <w:lang w:val="en-IE"/>
        </w:rPr>
        <w:t xml:space="preserve"> </w:t>
      </w:r>
      <w:r w:rsidR="00EB77B9">
        <w:rPr>
          <w:i w:val="0"/>
          <w:iCs w:val="0"/>
          <w:lang w:val="en-IE"/>
        </w:rPr>
        <w:t>M. </w:t>
      </w:r>
      <w:r w:rsidR="009A4557" w:rsidRPr="00882D2B">
        <w:rPr>
          <w:i w:val="0"/>
          <w:iCs w:val="0"/>
          <w:lang w:val="en-IE"/>
        </w:rPr>
        <w:t xml:space="preserve">tuberculosis </w:t>
      </w:r>
      <w:r w:rsidR="009A4557" w:rsidRPr="00882D2B">
        <w:rPr>
          <w:lang w:val="en-IE"/>
        </w:rPr>
        <w:t xml:space="preserve">complex </w:t>
      </w:r>
      <w:r w:rsidRPr="00882D2B">
        <w:rPr>
          <w:lang w:val="en-IE"/>
        </w:rPr>
        <w:t>and those sensitised to tuberculin due to exposure to other mycobacteria or related genera.</w:t>
      </w:r>
      <w:r w:rsidR="00D765D7">
        <w:rPr>
          <w:lang w:val="en-IE"/>
        </w:rPr>
        <w:t xml:space="preserve"> </w:t>
      </w:r>
      <w:r w:rsidRPr="00882D2B">
        <w:rPr>
          <w:lang w:val="en-IE"/>
        </w:rPr>
        <w:t>The decision to use the single or comparative test generally depends on the prevalence of tuberculosis infection and on the level of environmental exposure to other sensitising organisms.</w:t>
      </w:r>
      <w:r w:rsidR="00067316" w:rsidRPr="00882D2B">
        <w:rPr>
          <w:lang w:val="en-IE"/>
        </w:rPr>
        <w:t xml:space="preserve"> </w:t>
      </w:r>
      <w:r w:rsidRPr="00882D2B">
        <w:rPr>
          <w:lang w:val="en-IE"/>
        </w:rPr>
        <w:t>The recommended dose of bovine PPD</w:t>
      </w:r>
      <w:r w:rsidR="00D93B12" w:rsidRPr="00882D2B">
        <w:rPr>
          <w:lang w:val="en-IE"/>
        </w:rPr>
        <w:t>-B</w:t>
      </w:r>
      <w:r w:rsidRPr="00882D2B">
        <w:rPr>
          <w:lang w:val="en-IE"/>
        </w:rPr>
        <w:t xml:space="preserve"> in cattle is at least 2000 International Units </w:t>
      </w:r>
      <w:r w:rsidRPr="00882D2B">
        <w:rPr>
          <w:i w:val="0"/>
          <w:iCs w:val="0"/>
          <w:lang w:val="en-IE"/>
        </w:rPr>
        <w:t>(</w:t>
      </w:r>
      <w:r w:rsidRPr="00882D2B">
        <w:rPr>
          <w:lang w:val="en-IE"/>
        </w:rPr>
        <w:t>IU</w:t>
      </w:r>
      <w:r w:rsidRPr="00882D2B">
        <w:rPr>
          <w:i w:val="0"/>
          <w:iCs w:val="0"/>
          <w:lang w:val="en-IE"/>
        </w:rPr>
        <w:t>)</w:t>
      </w:r>
      <w:r w:rsidRPr="00882D2B">
        <w:rPr>
          <w:lang w:val="en-IE"/>
        </w:rPr>
        <w:t xml:space="preserve"> and in the comparative tuberculin test, the doses should be no lower than 2000 IU each. </w:t>
      </w:r>
      <w:r w:rsidR="00D765D7">
        <w:rPr>
          <w:lang w:val="en-IE"/>
        </w:rPr>
        <w:t xml:space="preserve">Defined antigen skin tests </w:t>
      </w:r>
      <w:r w:rsidR="00847635">
        <w:rPr>
          <w:lang w:val="en-IE"/>
        </w:rPr>
        <w:t xml:space="preserve">are </w:t>
      </w:r>
      <w:r w:rsidR="00EC29E2">
        <w:rPr>
          <w:lang w:val="en-IE"/>
        </w:rPr>
        <w:t>being evaluated</w:t>
      </w:r>
      <w:r w:rsidR="005539B5">
        <w:rPr>
          <w:lang w:val="en-IE"/>
        </w:rPr>
        <w:t xml:space="preserve"> and </w:t>
      </w:r>
      <w:r w:rsidR="004F5CDC">
        <w:rPr>
          <w:lang w:val="en-IE"/>
        </w:rPr>
        <w:t>should prove</w:t>
      </w:r>
      <w:r w:rsidR="00D765D7">
        <w:rPr>
          <w:lang w:val="en-IE"/>
        </w:rPr>
        <w:t xml:space="preserve"> useful for differentiation of </w:t>
      </w:r>
      <w:r w:rsidR="005539B5">
        <w:rPr>
          <w:lang w:val="en-IE"/>
        </w:rPr>
        <w:t xml:space="preserve">infected from </w:t>
      </w:r>
      <w:r w:rsidR="00D765D7">
        <w:rPr>
          <w:lang w:val="en-IE"/>
        </w:rPr>
        <w:t>vaccinated animals.</w:t>
      </w:r>
    </w:p>
    <w:p w14:paraId="3D84DF16" w14:textId="529809AC" w:rsidR="0015316B" w:rsidRPr="00882D2B" w:rsidRDefault="0015316B" w:rsidP="00CA2AC6">
      <w:pPr>
        <w:pStyle w:val="sumtexte"/>
        <w:rPr>
          <w:lang w:val="en-IE"/>
        </w:rPr>
      </w:pPr>
      <w:r w:rsidRPr="00882D2B">
        <w:rPr>
          <w:b/>
          <w:bCs/>
          <w:lang w:val="en-IE"/>
        </w:rPr>
        <w:t>Blood-based laboratory tests:</w:t>
      </w:r>
      <w:r w:rsidRPr="00882D2B">
        <w:rPr>
          <w:lang w:val="en-IE"/>
        </w:rPr>
        <w:t xml:space="preserve"> Diagnostic blood tests</w:t>
      </w:r>
      <w:r w:rsidR="00713719" w:rsidRPr="00882D2B">
        <w:rPr>
          <w:lang w:val="en-IE"/>
        </w:rPr>
        <w:t xml:space="preserve"> include</w:t>
      </w:r>
      <w:r w:rsidRPr="00882D2B">
        <w:rPr>
          <w:lang w:val="en-IE"/>
        </w:rPr>
        <w:t xml:space="preserve"> the</w:t>
      </w:r>
      <w:r w:rsidR="00E96642">
        <w:rPr>
          <w:lang w:val="en-IE"/>
        </w:rPr>
        <w:t xml:space="preserve"> </w:t>
      </w:r>
      <w:bookmarkStart w:id="2" w:name="_Hlk81923768"/>
      <w:r w:rsidRPr="00882D2B">
        <w:rPr>
          <w:lang w:val="en-IE"/>
        </w:rPr>
        <w:t>interferon</w:t>
      </w:r>
      <w:r w:rsidR="00E96642">
        <w:rPr>
          <w:lang w:val="en-IE"/>
        </w:rPr>
        <w:t>-</w:t>
      </w:r>
      <w:r w:rsidR="00E96642" w:rsidRPr="00882D2B">
        <w:rPr>
          <w:lang w:val="en-IE"/>
        </w:rPr>
        <w:t>gamma</w:t>
      </w:r>
      <w:r w:rsidR="00E96642">
        <w:rPr>
          <w:lang w:val="en-IE"/>
        </w:rPr>
        <w:t xml:space="preserve"> release</w:t>
      </w:r>
      <w:r w:rsidR="00E96642" w:rsidRPr="00882D2B">
        <w:rPr>
          <w:lang w:val="en-IE"/>
        </w:rPr>
        <w:t xml:space="preserve"> </w:t>
      </w:r>
      <w:r w:rsidRPr="00882D2B">
        <w:rPr>
          <w:lang w:val="en-IE"/>
        </w:rPr>
        <w:t>assay</w:t>
      </w:r>
      <w:bookmarkEnd w:id="2"/>
      <w:r w:rsidR="00135646">
        <w:rPr>
          <w:lang w:val="en-IE"/>
        </w:rPr>
        <w:t xml:space="preserve"> </w:t>
      </w:r>
      <w:r w:rsidR="00135646" w:rsidRPr="00C3427E">
        <w:rPr>
          <w:i w:val="0"/>
          <w:iCs w:val="0"/>
          <w:lang w:val="en-IE"/>
        </w:rPr>
        <w:t>(</w:t>
      </w:r>
      <w:r w:rsidR="00135646">
        <w:rPr>
          <w:lang w:val="en-IE"/>
        </w:rPr>
        <w:t>IGRA</w:t>
      </w:r>
      <w:r w:rsidR="00135646" w:rsidRPr="00C3427E">
        <w:rPr>
          <w:i w:val="0"/>
          <w:iCs w:val="0"/>
          <w:lang w:val="en-IE"/>
        </w:rPr>
        <w:t>)</w:t>
      </w:r>
      <w:r w:rsidRPr="00882D2B">
        <w:rPr>
          <w:lang w:val="en-IE"/>
        </w:rPr>
        <w:t xml:space="preserve">, which </w:t>
      </w:r>
      <w:r w:rsidR="0008446E" w:rsidRPr="00882D2B">
        <w:rPr>
          <w:lang w:val="en-IE"/>
        </w:rPr>
        <w:t>meas</w:t>
      </w:r>
      <w:r w:rsidR="00BD0CB7" w:rsidRPr="00882D2B">
        <w:rPr>
          <w:lang w:val="en-IE"/>
        </w:rPr>
        <w:t xml:space="preserve">ures cellular immune responses to </w:t>
      </w:r>
      <w:r w:rsidR="00DE47C5">
        <w:rPr>
          <w:lang w:val="en-IE"/>
        </w:rPr>
        <w:t>tuberculin or defined</w:t>
      </w:r>
      <w:r w:rsidR="00BD0CB7" w:rsidRPr="00882D2B">
        <w:rPr>
          <w:lang w:val="en-IE"/>
        </w:rPr>
        <w:t xml:space="preserve"> antigen</w:t>
      </w:r>
      <w:r w:rsidR="00DE47C5">
        <w:rPr>
          <w:lang w:val="en-IE"/>
        </w:rPr>
        <w:t>s</w:t>
      </w:r>
      <w:r w:rsidRPr="00882D2B">
        <w:rPr>
          <w:lang w:val="en-IE"/>
        </w:rPr>
        <w:t xml:space="preserve">, and the indirect ELISA and lateral flow assays, which detect antibody responses. The logistics and laboratory execution of some of these </w:t>
      </w:r>
      <w:r w:rsidR="005F1630" w:rsidRPr="00882D2B">
        <w:rPr>
          <w:lang w:val="en-IE"/>
        </w:rPr>
        <w:t>assays</w:t>
      </w:r>
      <w:r w:rsidRPr="00882D2B">
        <w:rPr>
          <w:lang w:val="en-IE"/>
        </w:rPr>
        <w:t xml:space="preserve"> may be a limiting factor. The use of blood-based assays can be </w:t>
      </w:r>
      <w:r w:rsidRPr="00882D2B">
        <w:rPr>
          <w:lang w:val="en-IE"/>
        </w:rPr>
        <w:lastRenderedPageBreak/>
        <w:t xml:space="preserve">advantageous, especially with intractable cattle, zoo animals and wildlife, although interpretation of the test may be hampered by lack of </w:t>
      </w:r>
      <w:r w:rsidR="00F2653F" w:rsidRPr="00882D2B">
        <w:rPr>
          <w:lang w:val="en-IE"/>
        </w:rPr>
        <w:t xml:space="preserve">validation </w:t>
      </w:r>
      <w:r w:rsidRPr="00882D2B">
        <w:rPr>
          <w:lang w:val="en-IE"/>
        </w:rPr>
        <w:t xml:space="preserve">data for some species. </w:t>
      </w:r>
    </w:p>
    <w:p w14:paraId="14E28B5E" w14:textId="2A570952" w:rsidR="00F560D9" w:rsidRPr="00882D2B" w:rsidRDefault="0015316B" w:rsidP="005A3350">
      <w:pPr>
        <w:pStyle w:val="sumtexte"/>
        <w:rPr>
          <w:lang w:val="en-IE"/>
        </w:rPr>
      </w:pPr>
      <w:r w:rsidRPr="00882D2B">
        <w:rPr>
          <w:b/>
          <w:bCs/>
          <w:lang w:val="en-IE"/>
        </w:rPr>
        <w:t>Requirements for vaccines and diagnostic biologicals:</w:t>
      </w:r>
      <w:r w:rsidRPr="00882D2B">
        <w:rPr>
          <w:lang w:val="en-IE"/>
        </w:rPr>
        <w:t xml:space="preserve"> </w:t>
      </w:r>
      <w:r w:rsidR="00F3731E" w:rsidRPr="00882D2B">
        <w:rPr>
          <w:lang w:val="en-IE"/>
        </w:rPr>
        <w:t xml:space="preserve">The only currently available vaccine against </w:t>
      </w:r>
      <w:r w:rsidR="00F3731E" w:rsidRPr="00F839D0">
        <w:rPr>
          <w:i w:val="0"/>
          <w:iCs w:val="0"/>
          <w:lang w:val="en-IE"/>
        </w:rPr>
        <w:t>M. </w:t>
      </w:r>
      <w:proofErr w:type="spellStart"/>
      <w:r w:rsidR="00F3731E" w:rsidRPr="00F839D0">
        <w:rPr>
          <w:i w:val="0"/>
          <w:iCs w:val="0"/>
          <w:lang w:val="en-IE"/>
        </w:rPr>
        <w:t>bovis</w:t>
      </w:r>
      <w:proofErr w:type="spellEnd"/>
      <w:r w:rsidR="00F3731E" w:rsidRPr="00882D2B">
        <w:rPr>
          <w:lang w:val="en-IE"/>
        </w:rPr>
        <w:t xml:space="preserve"> infections is </w:t>
      </w:r>
      <w:proofErr w:type="spellStart"/>
      <w:r w:rsidR="00F3731E" w:rsidRPr="00882D2B">
        <w:rPr>
          <w:lang w:val="en-IE"/>
        </w:rPr>
        <w:t>bacille</w:t>
      </w:r>
      <w:proofErr w:type="spellEnd"/>
      <w:r w:rsidR="00F3731E" w:rsidRPr="00882D2B">
        <w:rPr>
          <w:lang w:val="en-IE"/>
        </w:rPr>
        <w:t xml:space="preserve">-Calmette-Guerin </w:t>
      </w:r>
      <w:r w:rsidR="00F3731E" w:rsidRPr="00882D2B">
        <w:rPr>
          <w:i w:val="0"/>
          <w:iCs w:val="0"/>
          <w:lang w:val="en-IE"/>
        </w:rPr>
        <w:t>(</w:t>
      </w:r>
      <w:r w:rsidR="00F3731E" w:rsidRPr="00882D2B">
        <w:rPr>
          <w:lang w:val="en-IE"/>
        </w:rPr>
        <w:t>BCG</w:t>
      </w:r>
      <w:r w:rsidR="00F3731E" w:rsidRPr="00882D2B">
        <w:rPr>
          <w:i w:val="0"/>
          <w:iCs w:val="0"/>
          <w:lang w:val="en-IE"/>
        </w:rPr>
        <w:t>)</w:t>
      </w:r>
      <w:r w:rsidR="00F3731E" w:rsidRPr="00882D2B">
        <w:rPr>
          <w:lang w:val="en-IE"/>
        </w:rPr>
        <w:t>.</w:t>
      </w:r>
      <w:r w:rsidR="00BE1643">
        <w:rPr>
          <w:lang w:val="en-IE"/>
        </w:rPr>
        <w:t xml:space="preserve"> </w:t>
      </w:r>
      <w:r w:rsidR="00D75E98">
        <w:rPr>
          <w:lang w:val="en-IE"/>
        </w:rPr>
        <w:t>However,</w:t>
      </w:r>
      <w:r w:rsidR="00DE47C5">
        <w:rPr>
          <w:lang w:val="en-IE"/>
        </w:rPr>
        <w:t xml:space="preserve"> BCG </w:t>
      </w:r>
      <w:r w:rsidR="000F1764" w:rsidRPr="00882D2B">
        <w:rPr>
          <w:lang w:val="en-IE"/>
        </w:rPr>
        <w:t xml:space="preserve">may </w:t>
      </w:r>
      <w:r w:rsidR="006C3BC5" w:rsidRPr="00882D2B">
        <w:rPr>
          <w:lang w:val="en-IE"/>
        </w:rPr>
        <w:t>s</w:t>
      </w:r>
      <w:r w:rsidR="001521F6" w:rsidRPr="00882D2B">
        <w:rPr>
          <w:lang w:val="en-IE"/>
        </w:rPr>
        <w:t>e</w:t>
      </w:r>
      <w:r w:rsidR="006C3BC5" w:rsidRPr="00882D2B">
        <w:rPr>
          <w:lang w:val="en-IE"/>
        </w:rPr>
        <w:t>ns</w:t>
      </w:r>
      <w:r w:rsidR="00DB4057" w:rsidRPr="00882D2B">
        <w:rPr>
          <w:lang w:val="en-IE"/>
        </w:rPr>
        <w:t>it</w:t>
      </w:r>
      <w:r w:rsidR="001521F6" w:rsidRPr="00882D2B">
        <w:rPr>
          <w:lang w:val="en-IE"/>
        </w:rPr>
        <w:t>ise animals to</w:t>
      </w:r>
      <w:r w:rsidR="00A57F06" w:rsidRPr="00882D2B">
        <w:rPr>
          <w:lang w:val="en-IE"/>
        </w:rPr>
        <w:t xml:space="preserve"> t</w:t>
      </w:r>
      <w:r w:rsidR="000F1764" w:rsidRPr="00882D2B">
        <w:rPr>
          <w:lang w:val="en-IE"/>
        </w:rPr>
        <w:t xml:space="preserve">he tuberculin skin test </w:t>
      </w:r>
      <w:bookmarkStart w:id="3" w:name="_Hlk95750373"/>
      <w:r w:rsidR="005539B5">
        <w:rPr>
          <w:lang w:val="en-IE"/>
        </w:rPr>
        <w:t>and</w:t>
      </w:r>
      <w:r w:rsidR="005539B5" w:rsidRPr="00882D2B">
        <w:rPr>
          <w:lang w:val="en-IE"/>
        </w:rPr>
        <w:t xml:space="preserve"> </w:t>
      </w:r>
      <w:r w:rsidR="000F1764" w:rsidRPr="00882D2B">
        <w:rPr>
          <w:lang w:val="en-IE"/>
        </w:rPr>
        <w:t xml:space="preserve">other </w:t>
      </w:r>
      <w:r w:rsidR="005539B5">
        <w:rPr>
          <w:lang w:val="en-IE"/>
        </w:rPr>
        <w:t xml:space="preserve">tuberculin-based </w:t>
      </w:r>
      <w:r w:rsidR="000F1764" w:rsidRPr="00882D2B">
        <w:rPr>
          <w:lang w:val="en-IE"/>
        </w:rPr>
        <w:t>immunological tests</w:t>
      </w:r>
      <w:bookmarkEnd w:id="3"/>
      <w:r w:rsidR="005539B5">
        <w:rPr>
          <w:lang w:val="en-IE"/>
        </w:rPr>
        <w:t xml:space="preserve">. </w:t>
      </w:r>
      <w:r w:rsidR="004A6D51" w:rsidRPr="00C3427E">
        <w:rPr>
          <w:highlight w:val="yellow"/>
          <w:u w:val="double"/>
        </w:rPr>
        <w:t>For this reason, vaccination of cattle is prohibited in many countries.</w:t>
      </w:r>
      <w:r w:rsidR="00C3427E">
        <w:t xml:space="preserve"> </w:t>
      </w:r>
      <w:r w:rsidR="005A5826">
        <w:rPr>
          <w:lang w:val="en-IE"/>
        </w:rPr>
        <w:t>D</w:t>
      </w:r>
      <w:r w:rsidR="005539B5">
        <w:rPr>
          <w:lang w:val="en-IE"/>
        </w:rPr>
        <w:t>efined antigen skin tests</w:t>
      </w:r>
      <w:r w:rsidR="00AC39A3">
        <w:rPr>
          <w:lang w:val="en-IE"/>
        </w:rPr>
        <w:t xml:space="preserve"> or IGRA</w:t>
      </w:r>
      <w:r w:rsidR="000B0F1F">
        <w:rPr>
          <w:lang w:val="en-IE"/>
        </w:rPr>
        <w:t>, once validated,</w:t>
      </w:r>
      <w:r w:rsidR="005539B5">
        <w:rPr>
          <w:lang w:val="en-IE"/>
        </w:rPr>
        <w:t xml:space="preserve"> </w:t>
      </w:r>
      <w:r w:rsidR="00162AE1">
        <w:rPr>
          <w:lang w:val="en-IE"/>
        </w:rPr>
        <w:t>should enable</w:t>
      </w:r>
      <w:r w:rsidR="005539B5">
        <w:rPr>
          <w:lang w:val="en-IE"/>
        </w:rPr>
        <w:t xml:space="preserve"> differentiat</w:t>
      </w:r>
      <w:r w:rsidR="00162AE1">
        <w:rPr>
          <w:lang w:val="en-IE"/>
        </w:rPr>
        <w:t>ion of</w:t>
      </w:r>
      <w:r w:rsidR="005539B5">
        <w:rPr>
          <w:lang w:val="en-IE"/>
        </w:rPr>
        <w:t xml:space="preserve"> infected from vaccinated animals</w:t>
      </w:r>
      <w:r w:rsidR="000F1764" w:rsidRPr="00882D2B">
        <w:rPr>
          <w:lang w:val="en-IE"/>
        </w:rPr>
        <w:t>.</w:t>
      </w:r>
      <w:r w:rsidR="00030831" w:rsidRPr="00882D2B">
        <w:rPr>
          <w:lang w:val="en-IE"/>
        </w:rPr>
        <w:t xml:space="preserve"> BCG vaccines </w:t>
      </w:r>
      <w:r w:rsidR="00200C1B">
        <w:rPr>
          <w:lang w:val="en-IE"/>
        </w:rPr>
        <w:t>have</w:t>
      </w:r>
      <w:r w:rsidR="005539B5">
        <w:rPr>
          <w:lang w:val="en-IE"/>
        </w:rPr>
        <w:t xml:space="preserve"> </w:t>
      </w:r>
      <w:r w:rsidR="00200C1B">
        <w:rPr>
          <w:lang w:val="en-IE"/>
        </w:rPr>
        <w:t xml:space="preserve">been </w:t>
      </w:r>
      <w:r w:rsidR="005539B5" w:rsidRPr="00C3427E">
        <w:rPr>
          <w:strike/>
          <w:highlight w:val="yellow"/>
          <w:lang w:val="en-IE"/>
        </w:rPr>
        <w:t xml:space="preserve">licensed </w:t>
      </w:r>
      <w:r w:rsidR="003E1B11" w:rsidRPr="00C3427E">
        <w:rPr>
          <w:highlight w:val="yellow"/>
          <w:u w:val="double"/>
          <w:lang w:val="en-IE"/>
        </w:rPr>
        <w:t>granted regulatory approval</w:t>
      </w:r>
      <w:r w:rsidR="003E1B11">
        <w:rPr>
          <w:lang w:val="en-IE"/>
        </w:rPr>
        <w:t xml:space="preserve"> </w:t>
      </w:r>
      <w:r w:rsidR="005539B5">
        <w:rPr>
          <w:lang w:val="en-IE"/>
        </w:rPr>
        <w:t>for</w:t>
      </w:r>
      <w:r w:rsidR="00030831" w:rsidRPr="00882D2B">
        <w:rPr>
          <w:lang w:val="en-IE"/>
        </w:rPr>
        <w:t xml:space="preserve"> </w:t>
      </w:r>
      <w:r w:rsidR="005539B5">
        <w:rPr>
          <w:lang w:val="en-IE"/>
        </w:rPr>
        <w:t>the</w:t>
      </w:r>
      <w:r w:rsidR="00030831" w:rsidRPr="00882D2B">
        <w:rPr>
          <w:lang w:val="en-IE"/>
        </w:rPr>
        <w:t xml:space="preserve"> </w:t>
      </w:r>
      <w:r w:rsidR="00615C87" w:rsidRPr="00882D2B">
        <w:rPr>
          <w:lang w:val="en-IE"/>
        </w:rPr>
        <w:t xml:space="preserve">immunisation of </w:t>
      </w:r>
      <w:r w:rsidR="005539B5">
        <w:rPr>
          <w:lang w:val="en-IE"/>
        </w:rPr>
        <w:t xml:space="preserve">certain </w:t>
      </w:r>
      <w:r w:rsidR="00615C87" w:rsidRPr="00882D2B">
        <w:rPr>
          <w:lang w:val="en-IE"/>
        </w:rPr>
        <w:t>wildlife species such as the badger, and trials are in progress</w:t>
      </w:r>
      <w:r w:rsidR="005539B5">
        <w:rPr>
          <w:lang w:val="en-IE"/>
        </w:rPr>
        <w:t xml:space="preserve"> to </w:t>
      </w:r>
      <w:r w:rsidR="007F196F" w:rsidRPr="00882D2B">
        <w:rPr>
          <w:lang w:val="en-IE"/>
        </w:rPr>
        <w:t>evaluate</w:t>
      </w:r>
      <w:r w:rsidR="00DA203A" w:rsidRPr="00882D2B">
        <w:rPr>
          <w:lang w:val="en-IE"/>
        </w:rPr>
        <w:t xml:space="preserve"> the use of BCG in cattle in a number of countries. </w:t>
      </w:r>
    </w:p>
    <w:p w14:paraId="2D6F25D6" w14:textId="2DD46E31" w:rsidR="0015316B" w:rsidRPr="00882D2B" w:rsidRDefault="0003571A" w:rsidP="001A40D3">
      <w:pPr>
        <w:pStyle w:val="sumtexte"/>
        <w:spacing w:after="480"/>
        <w:rPr>
          <w:lang w:val="en-IE"/>
        </w:rPr>
      </w:pPr>
      <w:r w:rsidRPr="00882D2B">
        <w:rPr>
          <w:lang w:val="en-IE"/>
        </w:rPr>
        <w:t>M</w:t>
      </w:r>
      <w:r w:rsidR="0015316B" w:rsidRPr="00882D2B">
        <w:rPr>
          <w:lang w:val="en-IE"/>
        </w:rPr>
        <w:t xml:space="preserve">ethods for the production of bovine PPD </w:t>
      </w:r>
      <w:proofErr w:type="spellStart"/>
      <w:r w:rsidR="0015316B" w:rsidRPr="00882D2B">
        <w:rPr>
          <w:lang w:val="en-IE"/>
        </w:rPr>
        <w:t>tuberculins</w:t>
      </w:r>
      <w:proofErr w:type="spellEnd"/>
      <w:r w:rsidR="0015316B" w:rsidRPr="00882D2B">
        <w:rPr>
          <w:lang w:val="en-IE"/>
        </w:rPr>
        <w:t xml:space="preserve"> should </w:t>
      </w:r>
      <w:r w:rsidR="00EB3759" w:rsidRPr="00882D2B">
        <w:rPr>
          <w:lang w:val="en-IE"/>
        </w:rPr>
        <w:t>comply with</w:t>
      </w:r>
      <w:r w:rsidR="0015316B" w:rsidRPr="00882D2B">
        <w:rPr>
          <w:lang w:val="en-IE"/>
        </w:rPr>
        <w:t xml:space="preserve"> </w:t>
      </w:r>
      <w:r w:rsidR="0066606A" w:rsidRPr="00882D2B">
        <w:rPr>
          <w:lang w:val="en-IE"/>
        </w:rPr>
        <w:t xml:space="preserve">standard </w:t>
      </w:r>
      <w:r w:rsidR="0015316B" w:rsidRPr="00882D2B">
        <w:rPr>
          <w:lang w:val="en-IE"/>
        </w:rPr>
        <w:t xml:space="preserve">requirements </w:t>
      </w:r>
      <w:r w:rsidR="00F05081" w:rsidRPr="00882D2B">
        <w:rPr>
          <w:lang w:val="en-IE"/>
        </w:rPr>
        <w:t>for</w:t>
      </w:r>
      <w:r w:rsidR="0015316B" w:rsidRPr="00882D2B">
        <w:rPr>
          <w:lang w:val="en-IE"/>
        </w:rPr>
        <w:t xml:space="preserve"> source materials, production </w:t>
      </w:r>
      <w:r w:rsidR="00261EF1" w:rsidRPr="00882D2B">
        <w:rPr>
          <w:lang w:val="en-IE"/>
        </w:rPr>
        <w:t>procedures</w:t>
      </w:r>
      <w:r w:rsidR="0015316B" w:rsidRPr="00882D2B">
        <w:rPr>
          <w:lang w:val="en-IE"/>
        </w:rPr>
        <w:t xml:space="preserve"> and precautions, added substances, freedom from contamination, identity, safety, potency, specificity and freedom from sensitising effect. The bioassays for biological activity are of particular importance, and the potency should be expressed in International Units </w:t>
      </w:r>
      <w:r w:rsidR="0015316B" w:rsidRPr="00882D2B">
        <w:rPr>
          <w:i w:val="0"/>
          <w:iCs w:val="0"/>
          <w:lang w:val="en-IE"/>
        </w:rPr>
        <w:t>(</w:t>
      </w:r>
      <w:r w:rsidR="0015316B" w:rsidRPr="00882D2B">
        <w:rPr>
          <w:lang w:val="en-IE"/>
        </w:rPr>
        <w:t>IUs</w:t>
      </w:r>
      <w:r w:rsidR="0015316B" w:rsidRPr="00882D2B">
        <w:rPr>
          <w:i w:val="0"/>
          <w:iCs w:val="0"/>
          <w:lang w:val="en-IE"/>
        </w:rPr>
        <w:t>)</w:t>
      </w:r>
      <w:r w:rsidR="004235B7" w:rsidRPr="00882D2B">
        <w:rPr>
          <w:lang w:val="en-IE"/>
        </w:rPr>
        <w:t xml:space="preserve"> calibrated against the Internation</w:t>
      </w:r>
      <w:r w:rsidR="008805BB" w:rsidRPr="00882D2B">
        <w:rPr>
          <w:lang w:val="en-IE"/>
        </w:rPr>
        <w:t>al</w:t>
      </w:r>
      <w:r w:rsidR="004235B7" w:rsidRPr="00882D2B">
        <w:rPr>
          <w:lang w:val="en-IE"/>
        </w:rPr>
        <w:t xml:space="preserve"> </w:t>
      </w:r>
      <w:r w:rsidR="00CA1DFF" w:rsidRPr="00882D2B">
        <w:rPr>
          <w:lang w:val="en-IE"/>
        </w:rPr>
        <w:t xml:space="preserve">Standard </w:t>
      </w:r>
      <w:r w:rsidR="004235B7" w:rsidRPr="00882D2B">
        <w:rPr>
          <w:lang w:val="en-IE"/>
        </w:rPr>
        <w:t>Bovine Tuberculin</w:t>
      </w:r>
      <w:r w:rsidR="00CA1DFF">
        <w:rPr>
          <w:lang w:val="en-IE"/>
        </w:rPr>
        <w:t xml:space="preserve"> </w:t>
      </w:r>
      <w:r w:rsidR="00CA1DFF" w:rsidRPr="00CA1DFF">
        <w:rPr>
          <w:i w:val="0"/>
          <w:iCs w:val="0"/>
          <w:lang w:val="en-IE"/>
        </w:rPr>
        <w:t>(</w:t>
      </w:r>
      <w:r w:rsidR="00CA1DFF">
        <w:rPr>
          <w:lang w:val="en-IE"/>
        </w:rPr>
        <w:t>ISBT</w:t>
      </w:r>
      <w:r w:rsidR="00CA1DFF" w:rsidRPr="00CA1DFF">
        <w:rPr>
          <w:i w:val="0"/>
          <w:iCs w:val="0"/>
          <w:lang w:val="en-IE"/>
        </w:rPr>
        <w:t>)</w:t>
      </w:r>
      <w:r w:rsidR="0015316B" w:rsidRPr="00882D2B">
        <w:rPr>
          <w:lang w:val="en-IE"/>
        </w:rPr>
        <w:t>.</w:t>
      </w:r>
    </w:p>
    <w:p w14:paraId="1C0B4A3A" w14:textId="1FD99A57" w:rsidR="0015316B" w:rsidRPr="00882D2B" w:rsidRDefault="0015316B" w:rsidP="001A40D3">
      <w:pPr>
        <w:pStyle w:val="A0"/>
        <w:rPr>
          <w:lang w:val="en-IE"/>
        </w:rPr>
      </w:pPr>
      <w:r w:rsidRPr="00882D2B">
        <w:rPr>
          <w:lang w:val="en-IE"/>
        </w:rPr>
        <w:t>A.</w:t>
      </w:r>
      <w:r w:rsidR="00140119" w:rsidRPr="00882D2B">
        <w:rPr>
          <w:lang w:val="en-IE"/>
        </w:rPr>
        <w:t xml:space="preserve">  </w:t>
      </w:r>
      <w:r w:rsidR="00CA1DFF" w:rsidRPr="00882D2B">
        <w:rPr>
          <w:lang w:val="en-IE"/>
        </w:rPr>
        <w:t>introduction</w:t>
      </w:r>
    </w:p>
    <w:p w14:paraId="1D7E6D95" w14:textId="60A16CEA" w:rsidR="007C1D3E" w:rsidRPr="00882D2B" w:rsidRDefault="007C1D3E" w:rsidP="00A473D4">
      <w:pPr>
        <w:pStyle w:val="1Para"/>
        <w:rPr>
          <w:lang w:val="en-IE"/>
        </w:rPr>
      </w:pPr>
      <w:r w:rsidRPr="00882D2B">
        <w:rPr>
          <w:lang w:val="en-IE"/>
        </w:rPr>
        <w:t xml:space="preserve">Mammalian tuberculosis is a chronic granulomatous disease of animals </w:t>
      </w:r>
      <w:r w:rsidR="00497F72" w:rsidRPr="00A12331">
        <w:rPr>
          <w:lang w:val="en-IE"/>
        </w:rPr>
        <w:t xml:space="preserve">and humans </w:t>
      </w:r>
      <w:r w:rsidRPr="00A12331">
        <w:rPr>
          <w:lang w:val="en-IE"/>
        </w:rPr>
        <w:t>th</w:t>
      </w:r>
      <w:r w:rsidRPr="00882D2B">
        <w:rPr>
          <w:lang w:val="en-IE"/>
        </w:rPr>
        <w:t xml:space="preserve">at results from infection with pathogenic members of the </w:t>
      </w:r>
      <w:r w:rsidRPr="00882D2B">
        <w:rPr>
          <w:i/>
          <w:iCs/>
          <w:lang w:val="en-IE"/>
        </w:rPr>
        <w:t>Mycobacterium tuberculosis</w:t>
      </w:r>
      <w:r w:rsidRPr="00882D2B">
        <w:rPr>
          <w:lang w:val="en-IE"/>
        </w:rPr>
        <w:t xml:space="preserve"> complex </w:t>
      </w:r>
      <w:r w:rsidRPr="00F839D0">
        <w:rPr>
          <w:lang w:val="en-IE"/>
        </w:rPr>
        <w:t>(</w:t>
      </w:r>
      <w:r w:rsidRPr="00882D2B">
        <w:rPr>
          <w:lang w:val="en-IE"/>
        </w:rPr>
        <w:t>MTBC).</w:t>
      </w:r>
      <w:r w:rsidR="00140119" w:rsidRPr="00882D2B">
        <w:rPr>
          <w:lang w:val="en-IE"/>
        </w:rPr>
        <w:t xml:space="preserve"> </w:t>
      </w:r>
      <w:r w:rsidRPr="00882D2B">
        <w:rPr>
          <w:lang w:val="en-IE"/>
        </w:rPr>
        <w:t xml:space="preserve">MTBC members belong to the family </w:t>
      </w:r>
      <w:proofErr w:type="spellStart"/>
      <w:r w:rsidRPr="00882D2B">
        <w:rPr>
          <w:lang w:val="en-IE"/>
        </w:rPr>
        <w:t>Mycobacteriaceae</w:t>
      </w:r>
      <w:proofErr w:type="spellEnd"/>
      <w:r w:rsidRPr="00882D2B">
        <w:rPr>
          <w:lang w:val="en-IE"/>
        </w:rPr>
        <w:t xml:space="preserve"> and are Gram-positive, acid-fast bacilli.</w:t>
      </w:r>
      <w:r w:rsidR="00140119" w:rsidRPr="00882D2B">
        <w:rPr>
          <w:lang w:val="en-IE"/>
        </w:rPr>
        <w:t xml:space="preserve"> </w:t>
      </w:r>
      <w:r w:rsidRPr="00882D2B">
        <w:rPr>
          <w:lang w:val="en-IE"/>
        </w:rPr>
        <w:t>The taxonomy of organisms in the MTBC is in flux.</w:t>
      </w:r>
      <w:r w:rsidR="00140119" w:rsidRPr="00882D2B">
        <w:rPr>
          <w:lang w:val="en-IE"/>
        </w:rPr>
        <w:t xml:space="preserve"> </w:t>
      </w:r>
      <w:r w:rsidR="00CA1DFF" w:rsidRPr="00882D2B">
        <w:rPr>
          <w:lang w:val="en-IE"/>
        </w:rPr>
        <w:t xml:space="preserve">Recent genomic analyses </w:t>
      </w:r>
      <w:r w:rsidRPr="00882D2B">
        <w:rPr>
          <w:lang w:val="en-IE"/>
        </w:rPr>
        <w:t xml:space="preserve">suggest that all MTBC members belong to a single species – </w:t>
      </w:r>
      <w:r w:rsidRPr="00882D2B">
        <w:rPr>
          <w:i/>
          <w:iCs/>
          <w:lang w:val="en-IE"/>
        </w:rPr>
        <w:t>M.</w:t>
      </w:r>
      <w:r w:rsidR="00F839D0">
        <w:rPr>
          <w:i/>
          <w:iCs/>
          <w:lang w:val="en-IE"/>
        </w:rPr>
        <w:t> </w:t>
      </w:r>
      <w:r w:rsidRPr="00882D2B">
        <w:rPr>
          <w:i/>
          <w:iCs/>
          <w:lang w:val="en-IE"/>
        </w:rPr>
        <w:t>tuberculosis</w:t>
      </w:r>
      <w:r w:rsidRPr="00882D2B">
        <w:rPr>
          <w:lang w:val="en-IE"/>
        </w:rPr>
        <w:t xml:space="preserve">, with </w:t>
      </w:r>
      <w:r w:rsidRPr="00882D2B">
        <w:rPr>
          <w:i/>
          <w:iCs/>
          <w:lang w:val="en-IE"/>
        </w:rPr>
        <w:t>M.</w:t>
      </w:r>
      <w:r w:rsidR="00F839D0">
        <w:rPr>
          <w:i/>
          <w:iCs/>
          <w:lang w:val="en-IE"/>
        </w:rPr>
        <w:t> </w:t>
      </w:r>
      <w:proofErr w:type="spellStart"/>
      <w:r w:rsidRPr="00882D2B">
        <w:rPr>
          <w:i/>
          <w:iCs/>
          <w:lang w:val="en-IE"/>
        </w:rPr>
        <w:t>africanum</w:t>
      </w:r>
      <w:proofErr w:type="spellEnd"/>
      <w:r w:rsidRPr="00882D2B">
        <w:rPr>
          <w:lang w:val="en-IE"/>
        </w:rPr>
        <w:t xml:space="preserve">, </w:t>
      </w:r>
      <w:r w:rsidRPr="00882D2B">
        <w:rPr>
          <w:i/>
          <w:iCs/>
          <w:lang w:val="en-IE"/>
        </w:rPr>
        <w:t>M.</w:t>
      </w:r>
      <w:r w:rsidR="00F839D0">
        <w:rPr>
          <w:i/>
          <w:iCs/>
          <w:lang w:val="en-IE"/>
        </w:rPr>
        <w:t> </w:t>
      </w:r>
      <w:proofErr w:type="spellStart"/>
      <w:r w:rsidRPr="00882D2B">
        <w:rPr>
          <w:i/>
          <w:iCs/>
          <w:lang w:val="en-IE"/>
        </w:rPr>
        <w:t>bovis</w:t>
      </w:r>
      <w:proofErr w:type="spellEnd"/>
      <w:r w:rsidRPr="00882D2B">
        <w:rPr>
          <w:lang w:val="en-IE"/>
        </w:rPr>
        <w:t xml:space="preserve">, </w:t>
      </w:r>
      <w:r w:rsidRPr="00882D2B">
        <w:rPr>
          <w:i/>
          <w:iCs/>
          <w:lang w:val="en-IE"/>
        </w:rPr>
        <w:t>M.</w:t>
      </w:r>
      <w:r w:rsidR="00F839D0">
        <w:rPr>
          <w:i/>
          <w:iCs/>
          <w:lang w:val="en-IE"/>
        </w:rPr>
        <w:t> </w:t>
      </w:r>
      <w:proofErr w:type="spellStart"/>
      <w:r w:rsidRPr="00882D2B">
        <w:rPr>
          <w:i/>
          <w:iCs/>
          <w:lang w:val="en-IE"/>
        </w:rPr>
        <w:t>caprae</w:t>
      </w:r>
      <w:proofErr w:type="spellEnd"/>
      <w:r w:rsidRPr="00882D2B">
        <w:rPr>
          <w:lang w:val="en-IE"/>
        </w:rPr>
        <w:t xml:space="preserve">, </w:t>
      </w:r>
      <w:r w:rsidRPr="00882D2B">
        <w:rPr>
          <w:i/>
          <w:iCs/>
          <w:lang w:val="en-IE"/>
        </w:rPr>
        <w:t>M.</w:t>
      </w:r>
      <w:r w:rsidR="00F839D0">
        <w:rPr>
          <w:i/>
          <w:iCs/>
          <w:lang w:val="en-IE"/>
        </w:rPr>
        <w:t> </w:t>
      </w:r>
      <w:proofErr w:type="spellStart"/>
      <w:r w:rsidRPr="00882D2B">
        <w:rPr>
          <w:i/>
          <w:iCs/>
          <w:lang w:val="en-IE"/>
        </w:rPr>
        <w:t>microti</w:t>
      </w:r>
      <w:proofErr w:type="spellEnd"/>
      <w:r w:rsidRPr="00882D2B">
        <w:rPr>
          <w:lang w:val="en-IE"/>
        </w:rPr>
        <w:t xml:space="preserve"> and </w:t>
      </w:r>
      <w:r w:rsidRPr="00882D2B">
        <w:rPr>
          <w:i/>
          <w:iCs/>
          <w:lang w:val="en-IE"/>
        </w:rPr>
        <w:t>M.</w:t>
      </w:r>
      <w:r w:rsidR="00F839D0">
        <w:rPr>
          <w:i/>
          <w:iCs/>
          <w:lang w:val="en-IE"/>
        </w:rPr>
        <w:t> </w:t>
      </w:r>
      <w:proofErr w:type="spellStart"/>
      <w:r w:rsidRPr="00882D2B">
        <w:rPr>
          <w:i/>
          <w:iCs/>
          <w:lang w:val="en-IE"/>
        </w:rPr>
        <w:t>pinnipedii</w:t>
      </w:r>
      <w:proofErr w:type="spellEnd"/>
      <w:r w:rsidRPr="00882D2B">
        <w:rPr>
          <w:lang w:val="en-IE"/>
        </w:rPr>
        <w:t xml:space="preserve"> considered heterotypic synonyms (variants) of </w:t>
      </w:r>
      <w:r w:rsidRPr="00882D2B">
        <w:rPr>
          <w:i/>
          <w:iCs/>
          <w:lang w:val="en-IE"/>
        </w:rPr>
        <w:t>M.</w:t>
      </w:r>
      <w:r w:rsidR="00861AC4" w:rsidRPr="00882D2B">
        <w:rPr>
          <w:i/>
          <w:iCs/>
          <w:lang w:val="en-IE"/>
        </w:rPr>
        <w:t> </w:t>
      </w:r>
      <w:r w:rsidRPr="00882D2B">
        <w:rPr>
          <w:i/>
          <w:iCs/>
          <w:lang w:val="en-IE"/>
        </w:rPr>
        <w:t>tuberculosis</w:t>
      </w:r>
      <w:r w:rsidRPr="00882D2B">
        <w:rPr>
          <w:lang w:val="en-IE"/>
        </w:rPr>
        <w:t xml:space="preserve">; and </w:t>
      </w:r>
      <w:r w:rsidRPr="00882D2B">
        <w:rPr>
          <w:i/>
          <w:iCs/>
          <w:lang w:val="en-IE"/>
        </w:rPr>
        <w:t>M.</w:t>
      </w:r>
      <w:r w:rsidR="00F839D0">
        <w:rPr>
          <w:i/>
          <w:iCs/>
          <w:lang w:val="en-IE"/>
        </w:rPr>
        <w:t> </w:t>
      </w:r>
      <w:proofErr w:type="spellStart"/>
      <w:r w:rsidRPr="00882D2B">
        <w:rPr>
          <w:i/>
          <w:iCs/>
          <w:lang w:val="en-IE"/>
        </w:rPr>
        <w:t>canettii</w:t>
      </w:r>
      <w:proofErr w:type="spellEnd"/>
      <w:r w:rsidRPr="00882D2B">
        <w:rPr>
          <w:lang w:val="en-IE"/>
        </w:rPr>
        <w:t xml:space="preserve">, </w:t>
      </w:r>
      <w:r w:rsidRPr="00882D2B">
        <w:rPr>
          <w:i/>
          <w:iCs/>
          <w:lang w:val="en-IE"/>
        </w:rPr>
        <w:t>M.</w:t>
      </w:r>
      <w:r w:rsidR="00F839D0">
        <w:rPr>
          <w:i/>
          <w:iCs/>
          <w:lang w:val="en-IE"/>
        </w:rPr>
        <w:t> </w:t>
      </w:r>
      <w:proofErr w:type="spellStart"/>
      <w:r w:rsidRPr="00882D2B">
        <w:rPr>
          <w:i/>
          <w:iCs/>
          <w:lang w:val="en-IE"/>
        </w:rPr>
        <w:t>mungi</w:t>
      </w:r>
      <w:proofErr w:type="spellEnd"/>
      <w:r w:rsidRPr="00882D2B">
        <w:rPr>
          <w:lang w:val="en-IE"/>
        </w:rPr>
        <w:t xml:space="preserve">, and </w:t>
      </w:r>
      <w:r w:rsidRPr="00882D2B">
        <w:rPr>
          <w:i/>
          <w:iCs/>
          <w:lang w:val="en-IE"/>
        </w:rPr>
        <w:t>M.</w:t>
      </w:r>
      <w:r w:rsidR="00F839D0">
        <w:rPr>
          <w:i/>
          <w:iCs/>
          <w:lang w:val="en-IE"/>
        </w:rPr>
        <w:t> </w:t>
      </w:r>
      <w:proofErr w:type="spellStart"/>
      <w:r w:rsidRPr="00882D2B">
        <w:rPr>
          <w:i/>
          <w:iCs/>
          <w:lang w:val="en-IE"/>
        </w:rPr>
        <w:t>orygis</w:t>
      </w:r>
      <w:proofErr w:type="spellEnd"/>
      <w:r w:rsidRPr="00882D2B">
        <w:rPr>
          <w:lang w:val="en-IE"/>
        </w:rPr>
        <w:t xml:space="preserve"> recogni</w:t>
      </w:r>
      <w:r w:rsidR="00861AC4" w:rsidRPr="00882D2B">
        <w:rPr>
          <w:lang w:val="en-IE"/>
        </w:rPr>
        <w:t>s</w:t>
      </w:r>
      <w:r w:rsidRPr="00882D2B">
        <w:rPr>
          <w:lang w:val="en-IE"/>
        </w:rPr>
        <w:t xml:space="preserve">ed as strains of </w:t>
      </w:r>
      <w:r w:rsidRPr="00882D2B">
        <w:rPr>
          <w:i/>
          <w:iCs/>
          <w:lang w:val="en-IE"/>
        </w:rPr>
        <w:t>M</w:t>
      </w:r>
      <w:r w:rsidR="00F839D0">
        <w:rPr>
          <w:i/>
          <w:iCs/>
          <w:lang w:val="en-IE"/>
        </w:rPr>
        <w:t> t</w:t>
      </w:r>
      <w:r w:rsidRPr="00882D2B">
        <w:rPr>
          <w:i/>
          <w:iCs/>
          <w:lang w:val="en-IE"/>
        </w:rPr>
        <w:t>uberculosis</w:t>
      </w:r>
      <w:r w:rsidRPr="00882D2B">
        <w:rPr>
          <w:lang w:val="en-IE"/>
        </w:rPr>
        <w:t>. To retain linkage with historical nomenclature, the more widely recogn</w:t>
      </w:r>
      <w:r w:rsidR="00861AC4" w:rsidRPr="00882D2B">
        <w:rPr>
          <w:lang w:val="en-IE"/>
        </w:rPr>
        <w:t>is</w:t>
      </w:r>
      <w:r w:rsidRPr="00882D2B">
        <w:rPr>
          <w:lang w:val="en-IE"/>
        </w:rPr>
        <w:t>ed designations are used in this Chapter instead of infra-subspecific designations.</w:t>
      </w:r>
      <w:r w:rsidR="00140119" w:rsidRPr="00882D2B">
        <w:rPr>
          <w:lang w:val="en-IE"/>
        </w:rPr>
        <w:t xml:space="preserve"> </w:t>
      </w:r>
      <w:r w:rsidRPr="00882D2B">
        <w:rPr>
          <w:lang w:val="en-IE"/>
        </w:rPr>
        <w:t xml:space="preserve">Hence, we continue to use designations </w:t>
      </w:r>
      <w:r w:rsidRPr="00882D2B">
        <w:rPr>
          <w:i/>
          <w:iCs/>
          <w:lang w:val="en-IE"/>
        </w:rPr>
        <w:t>M.</w:t>
      </w:r>
      <w:r w:rsidR="00F839D0">
        <w:rPr>
          <w:i/>
          <w:iCs/>
          <w:lang w:val="en-IE"/>
        </w:rPr>
        <w:t> </w:t>
      </w:r>
      <w:proofErr w:type="spellStart"/>
      <w:r w:rsidRPr="00882D2B">
        <w:rPr>
          <w:i/>
          <w:iCs/>
          <w:lang w:val="en-IE"/>
        </w:rPr>
        <w:t>bovis</w:t>
      </w:r>
      <w:proofErr w:type="spellEnd"/>
      <w:r w:rsidRPr="00882D2B">
        <w:rPr>
          <w:lang w:val="en-IE"/>
        </w:rPr>
        <w:t xml:space="preserve"> or </w:t>
      </w:r>
      <w:r w:rsidRPr="00882D2B">
        <w:rPr>
          <w:i/>
          <w:iCs/>
          <w:lang w:val="en-IE"/>
        </w:rPr>
        <w:t>M.</w:t>
      </w:r>
      <w:r w:rsidR="00F839D0">
        <w:rPr>
          <w:i/>
          <w:iCs/>
          <w:lang w:val="en-IE"/>
        </w:rPr>
        <w:t> </w:t>
      </w:r>
      <w:proofErr w:type="spellStart"/>
      <w:r w:rsidRPr="00882D2B">
        <w:rPr>
          <w:i/>
          <w:iCs/>
          <w:lang w:val="en-IE"/>
        </w:rPr>
        <w:t>caprae</w:t>
      </w:r>
      <w:proofErr w:type="spellEnd"/>
      <w:r w:rsidRPr="00882D2B">
        <w:rPr>
          <w:i/>
          <w:iCs/>
          <w:lang w:val="en-IE"/>
        </w:rPr>
        <w:t xml:space="preserve"> </w:t>
      </w:r>
      <w:r w:rsidRPr="00882D2B">
        <w:rPr>
          <w:lang w:val="en-IE"/>
        </w:rPr>
        <w:t xml:space="preserve">instead of </w:t>
      </w:r>
      <w:r w:rsidRPr="00882D2B">
        <w:rPr>
          <w:i/>
          <w:iCs/>
          <w:lang w:val="en-IE"/>
        </w:rPr>
        <w:t>M.</w:t>
      </w:r>
      <w:r w:rsidR="00F839D0">
        <w:rPr>
          <w:i/>
          <w:iCs/>
          <w:lang w:val="en-IE"/>
        </w:rPr>
        <w:t> </w:t>
      </w:r>
      <w:r w:rsidRPr="00882D2B">
        <w:rPr>
          <w:i/>
          <w:iCs/>
          <w:lang w:val="en-IE"/>
        </w:rPr>
        <w:t>tuberculosis</w:t>
      </w:r>
      <w:r w:rsidRPr="00882D2B">
        <w:rPr>
          <w:lang w:val="en-IE"/>
        </w:rPr>
        <w:t xml:space="preserve"> var. </w:t>
      </w:r>
      <w:proofErr w:type="spellStart"/>
      <w:r w:rsidRPr="00882D2B">
        <w:rPr>
          <w:lang w:val="en-IE"/>
        </w:rPr>
        <w:t>bovis</w:t>
      </w:r>
      <w:proofErr w:type="spellEnd"/>
      <w:r w:rsidRPr="00882D2B">
        <w:rPr>
          <w:lang w:val="en-IE"/>
        </w:rPr>
        <w:t xml:space="preserve"> or </w:t>
      </w:r>
      <w:r w:rsidRPr="00882D2B">
        <w:rPr>
          <w:i/>
          <w:iCs/>
          <w:lang w:val="en-IE"/>
        </w:rPr>
        <w:t>M.</w:t>
      </w:r>
      <w:r w:rsidR="00F839D0">
        <w:rPr>
          <w:i/>
          <w:iCs/>
          <w:lang w:val="en-IE"/>
        </w:rPr>
        <w:t> </w:t>
      </w:r>
      <w:r w:rsidRPr="00882D2B">
        <w:rPr>
          <w:i/>
          <w:iCs/>
          <w:lang w:val="en-IE"/>
        </w:rPr>
        <w:t>tuberculosis</w:t>
      </w:r>
      <w:r w:rsidRPr="00882D2B">
        <w:rPr>
          <w:lang w:val="en-IE"/>
        </w:rPr>
        <w:t xml:space="preserve"> var. </w:t>
      </w:r>
      <w:proofErr w:type="spellStart"/>
      <w:r w:rsidRPr="00882D2B">
        <w:rPr>
          <w:lang w:val="en-IE"/>
        </w:rPr>
        <w:t>caprae</w:t>
      </w:r>
      <w:proofErr w:type="spellEnd"/>
      <w:r w:rsidRPr="00882D2B">
        <w:rPr>
          <w:lang w:val="en-IE"/>
        </w:rPr>
        <w:t>, respectively, for ease of prior association.</w:t>
      </w:r>
    </w:p>
    <w:p w14:paraId="7F6160E9" w14:textId="5C6D22C4" w:rsidR="007C1D3E" w:rsidRPr="009D237A" w:rsidRDefault="007C1D3E" w:rsidP="00A473D4">
      <w:pPr>
        <w:pStyle w:val="1Para"/>
        <w:rPr>
          <w:lang w:val="en-IE"/>
        </w:rPr>
      </w:pPr>
      <w:r w:rsidRPr="00882D2B">
        <w:rPr>
          <w:lang w:val="en-IE"/>
        </w:rPr>
        <w:t xml:space="preserve">While there is considerable evidence of host-association amongst members of the MTBC, currently all mammalian species are considered to be susceptible to tuberculosis, and nearly identical disease may </w:t>
      </w:r>
      <w:r w:rsidR="00983BF7" w:rsidRPr="00C3427E">
        <w:rPr>
          <w:highlight w:val="yellow"/>
          <w:u w:val="double"/>
          <w:lang w:val="en-IE"/>
        </w:rPr>
        <w:t>potentially</w:t>
      </w:r>
      <w:r w:rsidR="00983BF7">
        <w:rPr>
          <w:lang w:val="en-IE"/>
        </w:rPr>
        <w:t xml:space="preserve"> </w:t>
      </w:r>
      <w:r w:rsidRPr="00882D2B">
        <w:rPr>
          <w:lang w:val="en-IE"/>
        </w:rPr>
        <w:t>result in any host species from infection with any member of the complex.</w:t>
      </w:r>
      <w:r w:rsidR="00140119" w:rsidRPr="00882D2B">
        <w:rPr>
          <w:lang w:val="en-IE"/>
        </w:rPr>
        <w:t xml:space="preserve"> </w:t>
      </w:r>
      <w:r w:rsidRPr="00882D2B">
        <w:rPr>
          <w:lang w:val="en-IE"/>
        </w:rPr>
        <w:t xml:space="preserve">The primary pathogens associated with domesticated and wild animals include </w:t>
      </w:r>
      <w:r w:rsidRPr="00882D2B">
        <w:rPr>
          <w:i/>
          <w:iCs/>
          <w:lang w:val="en-IE"/>
        </w:rPr>
        <w:t>M.</w:t>
      </w:r>
      <w:r w:rsidR="00F839D0">
        <w:rPr>
          <w:i/>
          <w:iCs/>
          <w:lang w:val="en-IE"/>
        </w:rPr>
        <w:t> </w:t>
      </w:r>
      <w:proofErr w:type="spellStart"/>
      <w:r w:rsidRPr="00882D2B">
        <w:rPr>
          <w:i/>
          <w:iCs/>
          <w:lang w:val="en-IE"/>
        </w:rPr>
        <w:t>bovis</w:t>
      </w:r>
      <w:proofErr w:type="spellEnd"/>
      <w:r w:rsidRPr="00882D2B">
        <w:rPr>
          <w:lang w:val="en-IE"/>
        </w:rPr>
        <w:t xml:space="preserve">, </w:t>
      </w:r>
      <w:r w:rsidRPr="00882D2B">
        <w:rPr>
          <w:i/>
          <w:iCs/>
          <w:lang w:val="en-IE"/>
        </w:rPr>
        <w:t>M.</w:t>
      </w:r>
      <w:r w:rsidR="00F839D0">
        <w:rPr>
          <w:i/>
          <w:iCs/>
          <w:lang w:val="en-IE"/>
        </w:rPr>
        <w:t> </w:t>
      </w:r>
      <w:proofErr w:type="spellStart"/>
      <w:r w:rsidRPr="00882D2B">
        <w:rPr>
          <w:i/>
          <w:iCs/>
          <w:lang w:val="en-IE"/>
        </w:rPr>
        <w:t>caprae</w:t>
      </w:r>
      <w:proofErr w:type="spellEnd"/>
      <w:r w:rsidRPr="00882D2B">
        <w:rPr>
          <w:lang w:val="en-IE"/>
        </w:rPr>
        <w:t xml:space="preserve">, </w:t>
      </w:r>
      <w:r w:rsidRPr="00882D2B">
        <w:rPr>
          <w:i/>
          <w:iCs/>
          <w:lang w:val="en-IE"/>
        </w:rPr>
        <w:t>M.</w:t>
      </w:r>
      <w:r w:rsidR="00F839D0">
        <w:rPr>
          <w:i/>
          <w:iCs/>
          <w:lang w:val="en-IE"/>
        </w:rPr>
        <w:t> </w:t>
      </w:r>
      <w:proofErr w:type="spellStart"/>
      <w:r w:rsidRPr="00882D2B">
        <w:rPr>
          <w:i/>
          <w:iCs/>
          <w:lang w:val="en-IE"/>
        </w:rPr>
        <w:t>microti</w:t>
      </w:r>
      <w:proofErr w:type="spellEnd"/>
      <w:r w:rsidRPr="00882D2B">
        <w:rPr>
          <w:i/>
          <w:iCs/>
          <w:lang w:val="en-IE"/>
        </w:rPr>
        <w:t>, M.</w:t>
      </w:r>
      <w:r w:rsidR="00F839D0">
        <w:rPr>
          <w:i/>
          <w:iCs/>
          <w:lang w:val="en-IE"/>
        </w:rPr>
        <w:t> </w:t>
      </w:r>
      <w:proofErr w:type="spellStart"/>
      <w:r w:rsidRPr="00882D2B">
        <w:rPr>
          <w:i/>
          <w:iCs/>
          <w:lang w:val="en-IE"/>
        </w:rPr>
        <w:t>orygis</w:t>
      </w:r>
      <w:proofErr w:type="spellEnd"/>
      <w:r w:rsidRPr="00882D2B">
        <w:rPr>
          <w:i/>
          <w:iCs/>
          <w:lang w:val="en-IE"/>
        </w:rPr>
        <w:t xml:space="preserve"> </w:t>
      </w:r>
      <w:r w:rsidRPr="00882D2B">
        <w:rPr>
          <w:lang w:val="en-IE"/>
        </w:rPr>
        <w:t>and</w:t>
      </w:r>
      <w:r w:rsidRPr="00882D2B">
        <w:rPr>
          <w:i/>
          <w:iCs/>
          <w:lang w:val="en-IE"/>
        </w:rPr>
        <w:t xml:space="preserve"> M.</w:t>
      </w:r>
      <w:r w:rsidR="00861AC4" w:rsidRPr="00882D2B">
        <w:rPr>
          <w:i/>
          <w:iCs/>
          <w:lang w:val="en-IE"/>
        </w:rPr>
        <w:t> </w:t>
      </w:r>
      <w:proofErr w:type="spellStart"/>
      <w:r w:rsidRPr="00882D2B">
        <w:rPr>
          <w:i/>
          <w:iCs/>
          <w:lang w:val="en-IE"/>
        </w:rPr>
        <w:t>pinnipedii</w:t>
      </w:r>
      <w:proofErr w:type="spellEnd"/>
      <w:r w:rsidR="00231FCA">
        <w:rPr>
          <w:i/>
          <w:iCs/>
          <w:lang w:val="en-IE"/>
        </w:rPr>
        <w:t>.</w:t>
      </w:r>
      <w:r w:rsidR="00155AD9">
        <w:rPr>
          <w:i/>
          <w:iCs/>
          <w:lang w:val="en-IE"/>
        </w:rPr>
        <w:t xml:space="preserve"> </w:t>
      </w:r>
      <w:r w:rsidR="00EF1142">
        <w:rPr>
          <w:lang w:val="en-IE"/>
        </w:rPr>
        <w:t>Human exposure to</w:t>
      </w:r>
      <w:r w:rsidRPr="00882D2B">
        <w:rPr>
          <w:lang w:val="en-IE"/>
        </w:rPr>
        <w:t xml:space="preserve"> any member of the MTBC</w:t>
      </w:r>
      <w:r w:rsidR="004E4920">
        <w:rPr>
          <w:lang w:val="en-IE"/>
        </w:rPr>
        <w:t xml:space="preserve"> (apart from BCG</w:t>
      </w:r>
      <w:r w:rsidR="00D476C7">
        <w:rPr>
          <w:lang w:val="en-IE"/>
        </w:rPr>
        <w:t xml:space="preserve"> vaccine strain)</w:t>
      </w:r>
      <w:r w:rsidRPr="00882D2B">
        <w:rPr>
          <w:lang w:val="en-IE"/>
        </w:rPr>
        <w:t xml:space="preserve"> may result in zoonotic infection.</w:t>
      </w:r>
      <w:r w:rsidR="00140119" w:rsidRPr="00882D2B">
        <w:rPr>
          <w:lang w:val="en-IE"/>
        </w:rPr>
        <w:t xml:space="preserve"> </w:t>
      </w:r>
      <w:r w:rsidR="00861AC4" w:rsidRPr="00882D2B">
        <w:rPr>
          <w:i/>
          <w:iCs/>
        </w:rPr>
        <w:t xml:space="preserve">Mycobacterium </w:t>
      </w:r>
      <w:r w:rsidRPr="00882D2B">
        <w:rPr>
          <w:i/>
          <w:iCs/>
          <w:lang w:val="en-IE"/>
        </w:rPr>
        <w:t xml:space="preserve">tuberculosis </w:t>
      </w:r>
      <w:r w:rsidRPr="00882D2B">
        <w:rPr>
          <w:lang w:val="en-IE"/>
        </w:rPr>
        <w:t xml:space="preserve">and </w:t>
      </w:r>
      <w:r w:rsidR="00EB77B9">
        <w:rPr>
          <w:i/>
          <w:iCs/>
          <w:lang w:val="en-IE"/>
        </w:rPr>
        <w:t>M. </w:t>
      </w:r>
      <w:proofErr w:type="spellStart"/>
      <w:r w:rsidRPr="00882D2B">
        <w:rPr>
          <w:i/>
          <w:iCs/>
          <w:lang w:val="en-IE"/>
        </w:rPr>
        <w:t>africanum</w:t>
      </w:r>
      <w:proofErr w:type="spellEnd"/>
      <w:r w:rsidRPr="00882D2B">
        <w:rPr>
          <w:i/>
          <w:iCs/>
          <w:lang w:val="en-IE"/>
        </w:rPr>
        <w:t xml:space="preserve"> </w:t>
      </w:r>
      <w:r w:rsidRPr="00882D2B">
        <w:rPr>
          <w:lang w:val="en-IE"/>
        </w:rPr>
        <w:t>are primarily pathogens of humans, but these too are known to infect animals.</w:t>
      </w:r>
      <w:r w:rsidR="00140119" w:rsidRPr="00882D2B">
        <w:rPr>
          <w:lang w:val="en-IE"/>
        </w:rPr>
        <w:t xml:space="preserve"> </w:t>
      </w:r>
      <w:r w:rsidRPr="00882D2B">
        <w:rPr>
          <w:lang w:val="en-IE"/>
        </w:rPr>
        <w:t xml:space="preserve">While </w:t>
      </w:r>
      <w:r w:rsidRPr="00882D2B">
        <w:rPr>
          <w:i/>
          <w:iCs/>
          <w:lang w:val="en-IE"/>
        </w:rPr>
        <w:t>M.</w:t>
      </w:r>
      <w:r w:rsidR="00F839D0">
        <w:rPr>
          <w:i/>
          <w:iCs/>
          <w:lang w:val="en-IE"/>
        </w:rPr>
        <w:t> </w:t>
      </w:r>
      <w:proofErr w:type="spellStart"/>
      <w:r w:rsidRPr="00882D2B">
        <w:rPr>
          <w:i/>
          <w:iCs/>
          <w:lang w:val="en-IE"/>
        </w:rPr>
        <w:t>canettii</w:t>
      </w:r>
      <w:proofErr w:type="spellEnd"/>
      <w:r w:rsidRPr="00882D2B">
        <w:rPr>
          <w:i/>
          <w:iCs/>
          <w:lang w:val="en-IE"/>
        </w:rPr>
        <w:t xml:space="preserve"> </w:t>
      </w:r>
      <w:r w:rsidRPr="00882D2B">
        <w:rPr>
          <w:lang w:val="en-IE"/>
        </w:rPr>
        <w:t xml:space="preserve">has only been described in humans in Africa, it is considered to be a </w:t>
      </w:r>
      <w:proofErr w:type="spellStart"/>
      <w:r w:rsidRPr="00882D2B">
        <w:rPr>
          <w:lang w:val="en-IE"/>
        </w:rPr>
        <w:t>spillover</w:t>
      </w:r>
      <w:proofErr w:type="spellEnd"/>
      <w:r w:rsidR="00EF1142">
        <w:rPr>
          <w:lang w:val="en-IE"/>
        </w:rPr>
        <w:t xml:space="preserve"> transmission</w:t>
      </w:r>
      <w:r w:rsidRPr="00882D2B">
        <w:rPr>
          <w:lang w:val="en-IE"/>
        </w:rPr>
        <w:t xml:space="preserve"> from a potential wild animal reservoir that has yet</w:t>
      </w:r>
      <w:r w:rsidR="00EF1142">
        <w:rPr>
          <w:lang w:val="en-IE"/>
        </w:rPr>
        <w:t xml:space="preserve"> to be determined</w:t>
      </w:r>
      <w:r w:rsidRPr="00882D2B">
        <w:rPr>
          <w:lang w:val="en-IE"/>
        </w:rPr>
        <w:t>.</w:t>
      </w:r>
      <w:r w:rsidR="00140119" w:rsidRPr="00882D2B">
        <w:rPr>
          <w:lang w:val="en-IE"/>
        </w:rPr>
        <w:t xml:space="preserve"> </w:t>
      </w:r>
      <w:r w:rsidR="00861AC4" w:rsidRPr="00882D2B">
        <w:rPr>
          <w:i/>
          <w:iCs/>
        </w:rPr>
        <w:t xml:space="preserve">Mycobacterium </w:t>
      </w:r>
      <w:proofErr w:type="spellStart"/>
      <w:r w:rsidRPr="00882D2B">
        <w:rPr>
          <w:i/>
          <w:iCs/>
          <w:lang w:val="en-IE"/>
        </w:rPr>
        <w:t>mungi</w:t>
      </w:r>
      <w:proofErr w:type="spellEnd"/>
      <w:r w:rsidRPr="00882D2B">
        <w:rPr>
          <w:i/>
          <w:iCs/>
          <w:lang w:val="en-IE"/>
        </w:rPr>
        <w:t xml:space="preserve"> </w:t>
      </w:r>
      <w:r w:rsidRPr="00882D2B">
        <w:rPr>
          <w:lang w:val="en-IE"/>
        </w:rPr>
        <w:t>has been recovered from banded mongooses (</w:t>
      </w:r>
      <w:proofErr w:type="spellStart"/>
      <w:r w:rsidRPr="00882D2B">
        <w:rPr>
          <w:i/>
          <w:iCs/>
          <w:lang w:val="en-IE"/>
        </w:rPr>
        <w:t>Mungos</w:t>
      </w:r>
      <w:proofErr w:type="spellEnd"/>
      <w:r w:rsidRPr="00882D2B">
        <w:rPr>
          <w:i/>
          <w:iCs/>
          <w:lang w:val="en-IE"/>
        </w:rPr>
        <w:t xml:space="preserve"> mungo</w:t>
      </w:r>
      <w:r w:rsidRPr="00882D2B">
        <w:rPr>
          <w:lang w:val="en-IE"/>
        </w:rPr>
        <w:t xml:space="preserve">), and </w:t>
      </w:r>
      <w:r w:rsidRPr="00882D2B">
        <w:rPr>
          <w:i/>
          <w:iCs/>
          <w:lang w:val="en-IE"/>
        </w:rPr>
        <w:t>M.</w:t>
      </w:r>
      <w:r w:rsidR="00F839D0">
        <w:rPr>
          <w:i/>
          <w:iCs/>
          <w:lang w:val="en-IE"/>
        </w:rPr>
        <w:t> </w:t>
      </w:r>
      <w:proofErr w:type="spellStart"/>
      <w:r w:rsidRPr="00882D2B">
        <w:rPr>
          <w:i/>
          <w:iCs/>
          <w:lang w:val="en-IE"/>
        </w:rPr>
        <w:t>suricattae</w:t>
      </w:r>
      <w:proofErr w:type="spellEnd"/>
      <w:r w:rsidRPr="00882D2B">
        <w:rPr>
          <w:i/>
          <w:iCs/>
          <w:lang w:val="en-IE"/>
        </w:rPr>
        <w:t xml:space="preserve"> </w:t>
      </w:r>
      <w:r w:rsidRPr="00882D2B">
        <w:rPr>
          <w:lang w:val="en-IE"/>
        </w:rPr>
        <w:t>from meerkats (</w:t>
      </w:r>
      <w:r w:rsidRPr="00882D2B">
        <w:rPr>
          <w:i/>
          <w:iCs/>
          <w:lang w:val="en-IE"/>
        </w:rPr>
        <w:t xml:space="preserve">Suricata </w:t>
      </w:r>
      <w:proofErr w:type="spellStart"/>
      <w:r w:rsidRPr="00882D2B">
        <w:rPr>
          <w:i/>
          <w:iCs/>
          <w:lang w:val="en-IE"/>
        </w:rPr>
        <w:t>suricatta</w:t>
      </w:r>
      <w:proofErr w:type="spellEnd"/>
      <w:r w:rsidRPr="00882D2B">
        <w:rPr>
          <w:lang w:val="en-IE"/>
        </w:rPr>
        <w:t>), but neither organism has yet been described from other host species.</w:t>
      </w:r>
      <w:r w:rsidR="00140119" w:rsidRPr="00882D2B">
        <w:rPr>
          <w:lang w:val="en-IE"/>
        </w:rPr>
        <w:t xml:space="preserve"> </w:t>
      </w:r>
      <w:r w:rsidR="00861AC4" w:rsidRPr="00882D2B">
        <w:rPr>
          <w:i/>
          <w:iCs/>
        </w:rPr>
        <w:t xml:space="preserve">Mycobacterium </w:t>
      </w:r>
      <w:proofErr w:type="spellStart"/>
      <w:r w:rsidRPr="00882D2B">
        <w:rPr>
          <w:i/>
          <w:iCs/>
          <w:lang w:val="en-IE"/>
        </w:rPr>
        <w:t>microti</w:t>
      </w:r>
      <w:proofErr w:type="spellEnd"/>
      <w:r w:rsidRPr="00882D2B">
        <w:rPr>
          <w:lang w:val="en-IE"/>
        </w:rPr>
        <w:t xml:space="preserve"> is often diagnosed in cats due to transmission from the rodent maintenance hosts</w:t>
      </w:r>
      <w:r w:rsidR="00255538" w:rsidRPr="00882D2B">
        <w:rPr>
          <w:lang w:val="en-IE"/>
        </w:rPr>
        <w:t>.</w:t>
      </w:r>
      <w:r w:rsidR="001C3D32">
        <w:rPr>
          <w:lang w:val="en-IE"/>
        </w:rPr>
        <w:t xml:space="preserve"> </w:t>
      </w:r>
      <w:bookmarkStart w:id="4" w:name="_Hlk95750450"/>
      <w:r w:rsidR="00C3427E" w:rsidRPr="00C3427E">
        <w:rPr>
          <w:i/>
          <w:iCs/>
          <w:highlight w:val="yellow"/>
          <w:u w:val="double"/>
          <w:lang w:val="en-IE"/>
        </w:rPr>
        <w:t xml:space="preserve">Mycobacterium </w:t>
      </w:r>
      <w:proofErr w:type="spellStart"/>
      <w:r w:rsidR="001C3D32" w:rsidRPr="00C3427E">
        <w:rPr>
          <w:i/>
          <w:iCs/>
          <w:highlight w:val="yellow"/>
          <w:u w:val="double"/>
          <w:lang w:val="en-IE"/>
        </w:rPr>
        <w:t>microti</w:t>
      </w:r>
      <w:proofErr w:type="spellEnd"/>
      <w:r w:rsidR="001C3D32" w:rsidRPr="00C3427E">
        <w:rPr>
          <w:i/>
          <w:iCs/>
          <w:highlight w:val="yellow"/>
          <w:u w:val="double"/>
          <w:lang w:val="en-IE"/>
        </w:rPr>
        <w:t xml:space="preserve"> </w:t>
      </w:r>
      <w:r w:rsidR="001C3D32" w:rsidRPr="00E825B1">
        <w:rPr>
          <w:highlight w:val="yellow"/>
          <w:u w:val="double"/>
          <w:lang w:val="en-IE"/>
        </w:rPr>
        <w:t>has also been found widespread in wild boar</w:t>
      </w:r>
      <w:r w:rsidR="00247909" w:rsidRPr="00C3427E">
        <w:rPr>
          <w:i/>
          <w:iCs/>
          <w:highlight w:val="yellow"/>
          <w:u w:val="double"/>
          <w:lang w:val="en-IE"/>
        </w:rPr>
        <w:t>.</w:t>
      </w:r>
      <w:r w:rsidRPr="00882D2B">
        <w:rPr>
          <w:lang w:val="en-IE"/>
        </w:rPr>
        <w:t xml:space="preserve"> </w:t>
      </w:r>
      <w:bookmarkEnd w:id="4"/>
      <w:r w:rsidR="00861AC4" w:rsidRPr="00882D2B">
        <w:rPr>
          <w:i/>
          <w:iCs/>
        </w:rPr>
        <w:t xml:space="preserve">Mycobacterium </w:t>
      </w:r>
      <w:r w:rsidRPr="00882D2B">
        <w:rPr>
          <w:i/>
          <w:iCs/>
          <w:lang w:val="en-IE"/>
        </w:rPr>
        <w:t>tuberculosis</w:t>
      </w:r>
      <w:r w:rsidRPr="00882D2B">
        <w:rPr>
          <w:lang w:val="en-IE"/>
        </w:rPr>
        <w:t xml:space="preserve"> </w:t>
      </w:r>
      <w:proofErr w:type="spellStart"/>
      <w:r w:rsidRPr="00D476C7">
        <w:rPr>
          <w:i/>
          <w:lang w:val="en-IE"/>
        </w:rPr>
        <w:t>sensu</w:t>
      </w:r>
      <w:proofErr w:type="spellEnd"/>
      <w:r w:rsidRPr="00D476C7">
        <w:rPr>
          <w:i/>
          <w:lang w:val="en-IE"/>
        </w:rPr>
        <w:t xml:space="preserve"> </w:t>
      </w:r>
      <w:proofErr w:type="spellStart"/>
      <w:r w:rsidRPr="00D476C7">
        <w:rPr>
          <w:i/>
          <w:lang w:val="en-IE"/>
        </w:rPr>
        <w:t>stricto</w:t>
      </w:r>
      <w:proofErr w:type="spellEnd"/>
      <w:r w:rsidRPr="00882D2B">
        <w:rPr>
          <w:lang w:val="en-IE"/>
        </w:rPr>
        <w:t xml:space="preserve"> </w:t>
      </w:r>
      <w:r w:rsidR="003A59FD">
        <w:rPr>
          <w:lang w:val="en-IE"/>
        </w:rPr>
        <w:t>may be</w:t>
      </w:r>
      <w:r w:rsidRPr="00882D2B">
        <w:rPr>
          <w:lang w:val="en-IE"/>
        </w:rPr>
        <w:t xml:space="preserve"> found as </w:t>
      </w:r>
      <w:proofErr w:type="spellStart"/>
      <w:r w:rsidRPr="00882D2B">
        <w:rPr>
          <w:lang w:val="en-IE"/>
        </w:rPr>
        <w:t>anthroponoses</w:t>
      </w:r>
      <w:proofErr w:type="spellEnd"/>
      <w:r w:rsidRPr="00882D2B">
        <w:rPr>
          <w:lang w:val="en-IE"/>
        </w:rPr>
        <w:t xml:space="preserve"> in </w:t>
      </w:r>
      <w:r w:rsidR="00FE2199" w:rsidRPr="00882D2B">
        <w:rPr>
          <w:lang w:val="en-IE"/>
        </w:rPr>
        <w:t xml:space="preserve">elephants </w:t>
      </w:r>
      <w:r w:rsidR="008E0AA2" w:rsidRPr="00882D2B">
        <w:rPr>
          <w:lang w:val="en-IE"/>
        </w:rPr>
        <w:t xml:space="preserve">and </w:t>
      </w:r>
      <w:r w:rsidR="00FE2199" w:rsidRPr="00882D2B">
        <w:rPr>
          <w:lang w:val="en-IE"/>
        </w:rPr>
        <w:t>companion animals</w:t>
      </w:r>
      <w:r w:rsidRPr="00882D2B">
        <w:rPr>
          <w:lang w:val="en-IE"/>
        </w:rPr>
        <w:t>.</w:t>
      </w:r>
      <w:r w:rsidR="00140119" w:rsidRPr="00882D2B">
        <w:rPr>
          <w:lang w:val="en-IE"/>
        </w:rPr>
        <w:t xml:space="preserve"> </w:t>
      </w:r>
      <w:r w:rsidR="00000BE7" w:rsidRPr="009D237A">
        <w:rPr>
          <w:lang w:val="en-IE"/>
        </w:rPr>
        <w:t xml:space="preserve">Within the complex, </w:t>
      </w:r>
      <w:r w:rsidR="00000BE7" w:rsidRPr="009D237A">
        <w:rPr>
          <w:i/>
          <w:iCs/>
          <w:lang w:val="en-IE"/>
        </w:rPr>
        <w:t>M. </w:t>
      </w:r>
      <w:proofErr w:type="spellStart"/>
      <w:r w:rsidR="00000BE7" w:rsidRPr="009D237A">
        <w:rPr>
          <w:i/>
          <w:iCs/>
          <w:lang w:val="en-IE"/>
        </w:rPr>
        <w:t>bovis</w:t>
      </w:r>
      <w:proofErr w:type="spellEnd"/>
      <w:r w:rsidR="00000BE7" w:rsidRPr="009D237A">
        <w:rPr>
          <w:lang w:val="en-IE"/>
        </w:rPr>
        <w:t xml:space="preserve">, </w:t>
      </w:r>
      <w:r w:rsidR="00000BE7" w:rsidRPr="009D237A">
        <w:rPr>
          <w:i/>
          <w:iCs/>
          <w:lang w:val="en-IE"/>
        </w:rPr>
        <w:t>M. </w:t>
      </w:r>
      <w:proofErr w:type="spellStart"/>
      <w:r w:rsidR="00000BE7" w:rsidRPr="009D237A">
        <w:rPr>
          <w:i/>
          <w:iCs/>
          <w:lang w:val="en-IE"/>
        </w:rPr>
        <w:t>caprae</w:t>
      </w:r>
      <w:proofErr w:type="spellEnd"/>
      <w:r w:rsidR="00000BE7" w:rsidRPr="009D237A">
        <w:rPr>
          <w:i/>
          <w:iCs/>
          <w:lang w:val="en-IE"/>
        </w:rPr>
        <w:t xml:space="preserve"> </w:t>
      </w:r>
      <w:r w:rsidR="00000BE7" w:rsidRPr="009D237A">
        <w:rPr>
          <w:lang w:val="en-IE"/>
        </w:rPr>
        <w:t>and</w:t>
      </w:r>
      <w:r w:rsidR="00000BE7" w:rsidRPr="009D237A">
        <w:rPr>
          <w:i/>
          <w:iCs/>
          <w:lang w:val="en-IE"/>
        </w:rPr>
        <w:t xml:space="preserve"> M. tuberculosis </w:t>
      </w:r>
      <w:r w:rsidR="00000BE7" w:rsidRPr="009D237A">
        <w:rPr>
          <w:lang w:val="en-IE"/>
        </w:rPr>
        <w:t>are consider</w:t>
      </w:r>
      <w:r w:rsidR="000526F7" w:rsidRPr="009D237A">
        <w:rPr>
          <w:lang w:val="en-IE"/>
        </w:rPr>
        <w:t>ed</w:t>
      </w:r>
      <w:r w:rsidR="00000BE7" w:rsidRPr="009D237A">
        <w:rPr>
          <w:lang w:val="en-IE"/>
        </w:rPr>
        <w:t xml:space="preserve"> important variants in terms of broader host range, and public health perspective.</w:t>
      </w:r>
    </w:p>
    <w:p w14:paraId="20E4CA4D" w14:textId="44A4A66D" w:rsidR="007C1D3E" w:rsidRPr="00882D2B" w:rsidRDefault="007C1D3E" w:rsidP="00001CA4">
      <w:pPr>
        <w:pStyle w:val="1Para"/>
        <w:rPr>
          <w:lang w:val="en-IE"/>
        </w:rPr>
      </w:pPr>
      <w:r w:rsidRPr="00882D2B">
        <w:rPr>
          <w:lang w:val="en-IE"/>
        </w:rPr>
        <w:t>The disease is global in distribution.</w:t>
      </w:r>
      <w:r w:rsidR="00140119" w:rsidRPr="00882D2B">
        <w:rPr>
          <w:lang w:val="en-IE"/>
        </w:rPr>
        <w:t xml:space="preserve"> </w:t>
      </w:r>
      <w:r w:rsidR="00785685" w:rsidRPr="00785685">
        <w:t xml:space="preserve">For up-to-date information, consult </w:t>
      </w:r>
      <w:r w:rsidR="00785685">
        <w:t xml:space="preserve">the </w:t>
      </w:r>
      <w:r w:rsidR="00785685" w:rsidRPr="00785685">
        <w:t>OIE WAHIS interface</w:t>
      </w:r>
      <w:r w:rsidR="00785685" w:rsidRPr="00785685">
        <w:rPr>
          <w:rStyle w:val="FootnoteReference"/>
        </w:rPr>
        <w:footnoteReference w:id="2"/>
      </w:r>
      <w:r w:rsidR="00785685" w:rsidRPr="00785685">
        <w:t>.</w:t>
      </w:r>
      <w:r w:rsidR="00785685">
        <w:t xml:space="preserve"> </w:t>
      </w:r>
      <w:r w:rsidR="008F2986" w:rsidRPr="00785685">
        <w:rPr>
          <w:lang w:val="en-IE"/>
        </w:rPr>
        <w:t>A</w:t>
      </w:r>
      <w:r w:rsidR="008F2986">
        <w:rPr>
          <w:lang w:val="en-IE"/>
        </w:rPr>
        <w:t xml:space="preserve"> number of countries </w:t>
      </w:r>
      <w:r w:rsidRPr="00882D2B">
        <w:rPr>
          <w:lang w:val="en-IE"/>
        </w:rPr>
        <w:t>are considered free of tuberculosis</w:t>
      </w:r>
      <w:r w:rsidR="00785685">
        <w:rPr>
          <w:lang w:val="en-IE"/>
        </w:rPr>
        <w:t xml:space="preserve"> in livestock</w:t>
      </w:r>
      <w:r w:rsidRPr="00882D2B">
        <w:rPr>
          <w:lang w:val="en-IE"/>
        </w:rPr>
        <w:t>.</w:t>
      </w:r>
      <w:r w:rsidR="00140119" w:rsidRPr="00882D2B">
        <w:rPr>
          <w:lang w:val="en-IE"/>
        </w:rPr>
        <w:t xml:space="preserve"> </w:t>
      </w:r>
      <w:r w:rsidR="008F2986">
        <w:rPr>
          <w:lang w:val="en-IE"/>
        </w:rPr>
        <w:t>In others,</w:t>
      </w:r>
      <w:r w:rsidRPr="00882D2B">
        <w:rPr>
          <w:lang w:val="en-IE"/>
        </w:rPr>
        <w:t xml:space="preserve"> </w:t>
      </w:r>
      <w:r w:rsidR="008F2986" w:rsidRPr="00882D2B">
        <w:rPr>
          <w:lang w:val="en-IE"/>
        </w:rPr>
        <w:t xml:space="preserve">with active animal </w:t>
      </w:r>
      <w:r w:rsidR="008F2986">
        <w:rPr>
          <w:lang w:val="en-IE"/>
        </w:rPr>
        <w:t>tuberculosis</w:t>
      </w:r>
      <w:r w:rsidR="008F2986" w:rsidRPr="00882D2B">
        <w:rPr>
          <w:lang w:val="en-IE"/>
        </w:rPr>
        <w:t xml:space="preserve"> surveillance and control program</w:t>
      </w:r>
      <w:r w:rsidR="008F2986">
        <w:rPr>
          <w:lang w:val="en-IE"/>
        </w:rPr>
        <w:t>me</w:t>
      </w:r>
      <w:r w:rsidR="008F2986" w:rsidRPr="00882D2B">
        <w:rPr>
          <w:lang w:val="en-IE"/>
        </w:rPr>
        <w:t>s</w:t>
      </w:r>
      <w:r w:rsidR="008F2986">
        <w:rPr>
          <w:lang w:val="en-IE"/>
        </w:rPr>
        <w:t>,</w:t>
      </w:r>
      <w:r w:rsidR="008F2986" w:rsidRPr="00882D2B">
        <w:rPr>
          <w:lang w:val="en-IE"/>
        </w:rPr>
        <w:t xml:space="preserve"> </w:t>
      </w:r>
      <w:r w:rsidRPr="00882D2B">
        <w:rPr>
          <w:lang w:val="en-IE"/>
        </w:rPr>
        <w:t>there are only infrequent</w:t>
      </w:r>
      <w:r w:rsidR="00EF1142">
        <w:rPr>
          <w:lang w:val="en-IE"/>
        </w:rPr>
        <w:t xml:space="preserve"> disease</w:t>
      </w:r>
      <w:r w:rsidRPr="00882D2B">
        <w:rPr>
          <w:lang w:val="en-IE"/>
        </w:rPr>
        <w:t xml:space="preserve"> reports</w:t>
      </w:r>
      <w:r w:rsidR="00785685">
        <w:rPr>
          <w:lang w:val="en-IE"/>
        </w:rPr>
        <w:t>.</w:t>
      </w:r>
      <w:r w:rsidRPr="00882D2B">
        <w:rPr>
          <w:lang w:val="en-IE"/>
        </w:rPr>
        <w:t xml:space="preserve"> </w:t>
      </w:r>
      <w:r w:rsidR="00785685">
        <w:rPr>
          <w:lang w:val="en-IE"/>
        </w:rPr>
        <w:t>T</w:t>
      </w:r>
      <w:r w:rsidRPr="00882D2B">
        <w:rPr>
          <w:lang w:val="en-IE"/>
        </w:rPr>
        <w:t>he disease remains endemic and largely uncontrolled in Africa, Asia, Latin America and most countries in the Middle East.</w:t>
      </w:r>
      <w:r w:rsidR="00140119" w:rsidRPr="00882D2B">
        <w:rPr>
          <w:lang w:val="en-IE"/>
        </w:rPr>
        <w:t xml:space="preserve"> </w:t>
      </w:r>
      <w:r w:rsidRPr="00882D2B">
        <w:rPr>
          <w:lang w:val="en-IE"/>
        </w:rPr>
        <w:t>Wildlife reservoirs of tuberculosis have been described in several countries, and members of the MTBC are frequently recovered from free-living and captive wildlife hosts.</w:t>
      </w:r>
      <w:r w:rsidR="00140119" w:rsidRPr="00882D2B">
        <w:rPr>
          <w:lang w:val="en-IE"/>
        </w:rPr>
        <w:t xml:space="preserve"> </w:t>
      </w:r>
      <w:proofErr w:type="spellStart"/>
      <w:r w:rsidRPr="00882D2B">
        <w:rPr>
          <w:lang w:val="en-IE"/>
        </w:rPr>
        <w:t>Spillover</w:t>
      </w:r>
      <w:proofErr w:type="spellEnd"/>
      <w:r w:rsidRPr="00882D2B">
        <w:rPr>
          <w:lang w:val="en-IE"/>
        </w:rPr>
        <w:t xml:space="preserve"> from suspected maintenance wildlife reservoir hosts to cattle and other livestock have been reported in certain regions of Canada (from elk, </w:t>
      </w:r>
      <w:r w:rsidRPr="00882D2B">
        <w:rPr>
          <w:i/>
          <w:iCs/>
          <w:lang w:val="en-IE"/>
        </w:rPr>
        <w:t>Cervus canadensis</w:t>
      </w:r>
      <w:r w:rsidRPr="00882D2B">
        <w:rPr>
          <w:lang w:val="en-IE"/>
        </w:rPr>
        <w:t xml:space="preserve">), the Iberian peninsula (wild boar, </w:t>
      </w:r>
      <w:r w:rsidRPr="00882D2B">
        <w:rPr>
          <w:i/>
          <w:iCs/>
          <w:lang w:val="en-IE"/>
        </w:rPr>
        <w:t>Sus scrofa</w:t>
      </w:r>
      <w:r w:rsidR="00C01462">
        <w:rPr>
          <w:i/>
          <w:iCs/>
          <w:lang w:val="en-IE"/>
        </w:rPr>
        <w:t xml:space="preserve">, </w:t>
      </w:r>
      <w:r w:rsidR="00C01462">
        <w:rPr>
          <w:lang w:val="en-IE"/>
        </w:rPr>
        <w:t>and several cervid species</w:t>
      </w:r>
      <w:r w:rsidRPr="00882D2B">
        <w:rPr>
          <w:lang w:val="en-IE"/>
        </w:rPr>
        <w:t xml:space="preserve">), Ireland and the United Kingdom (European badger, </w:t>
      </w:r>
      <w:r w:rsidRPr="00882D2B">
        <w:rPr>
          <w:i/>
          <w:iCs/>
          <w:lang w:val="en-IE"/>
        </w:rPr>
        <w:t>Meles meles</w:t>
      </w:r>
      <w:r w:rsidRPr="00882D2B">
        <w:rPr>
          <w:lang w:val="en-IE"/>
        </w:rPr>
        <w:t>), New Zealand (primarily the brush</w:t>
      </w:r>
      <w:r w:rsidR="00E075DD">
        <w:rPr>
          <w:lang w:val="en-IE"/>
        </w:rPr>
        <w:t>-</w:t>
      </w:r>
      <w:r w:rsidRPr="00882D2B">
        <w:rPr>
          <w:lang w:val="en-IE"/>
        </w:rPr>
        <w:t>tail</w:t>
      </w:r>
      <w:r w:rsidR="00E075DD">
        <w:rPr>
          <w:lang w:val="en-IE"/>
        </w:rPr>
        <w:t>ed</w:t>
      </w:r>
      <w:r w:rsidRPr="00882D2B">
        <w:rPr>
          <w:lang w:val="en-IE"/>
        </w:rPr>
        <w:t xml:space="preserve"> possum, </w:t>
      </w:r>
      <w:proofErr w:type="spellStart"/>
      <w:r w:rsidRPr="00882D2B">
        <w:rPr>
          <w:i/>
          <w:iCs/>
          <w:lang w:val="en-IE"/>
        </w:rPr>
        <w:t>Trichosurus</w:t>
      </w:r>
      <w:proofErr w:type="spellEnd"/>
      <w:r w:rsidRPr="00882D2B">
        <w:rPr>
          <w:i/>
          <w:iCs/>
          <w:lang w:val="en-IE"/>
        </w:rPr>
        <w:t xml:space="preserve"> </w:t>
      </w:r>
      <w:proofErr w:type="spellStart"/>
      <w:r w:rsidRPr="00882D2B">
        <w:rPr>
          <w:i/>
          <w:iCs/>
          <w:lang w:val="en-IE"/>
        </w:rPr>
        <w:t>vulpecula</w:t>
      </w:r>
      <w:proofErr w:type="spellEnd"/>
      <w:r w:rsidRPr="00882D2B">
        <w:rPr>
          <w:lang w:val="en-IE"/>
        </w:rPr>
        <w:t xml:space="preserve">), </w:t>
      </w:r>
      <w:r w:rsidR="00CA1DFF" w:rsidRPr="00882D2B">
        <w:rPr>
          <w:lang w:val="en-IE"/>
        </w:rPr>
        <w:t xml:space="preserve">South </w:t>
      </w:r>
      <w:r w:rsidRPr="00882D2B">
        <w:rPr>
          <w:lang w:val="en-IE"/>
        </w:rPr>
        <w:t xml:space="preserve">Africa (African buffalo, </w:t>
      </w:r>
      <w:proofErr w:type="spellStart"/>
      <w:r w:rsidRPr="00882D2B">
        <w:rPr>
          <w:i/>
          <w:iCs/>
          <w:lang w:val="en-IE"/>
        </w:rPr>
        <w:t>Syncerus</w:t>
      </w:r>
      <w:proofErr w:type="spellEnd"/>
      <w:r w:rsidRPr="00882D2B">
        <w:rPr>
          <w:i/>
          <w:iCs/>
          <w:lang w:val="en-IE"/>
        </w:rPr>
        <w:t xml:space="preserve"> </w:t>
      </w:r>
      <w:proofErr w:type="spellStart"/>
      <w:r w:rsidRPr="00882D2B">
        <w:rPr>
          <w:i/>
          <w:iCs/>
          <w:lang w:val="en-IE"/>
        </w:rPr>
        <w:t>caffer</w:t>
      </w:r>
      <w:proofErr w:type="spellEnd"/>
      <w:r w:rsidRPr="00882D2B">
        <w:rPr>
          <w:lang w:val="en-IE"/>
        </w:rPr>
        <w:t xml:space="preserve">), and in certain regions of the United States (white-tailed deer, </w:t>
      </w:r>
      <w:r w:rsidRPr="00882D2B">
        <w:rPr>
          <w:i/>
          <w:iCs/>
          <w:lang w:val="en-IE"/>
        </w:rPr>
        <w:t>Odocoileus virginianus</w:t>
      </w:r>
      <w:r w:rsidRPr="00882D2B">
        <w:rPr>
          <w:lang w:val="en-IE"/>
        </w:rPr>
        <w:t>).</w:t>
      </w:r>
      <w:r w:rsidR="00140119" w:rsidRPr="00882D2B">
        <w:rPr>
          <w:lang w:val="en-IE"/>
        </w:rPr>
        <w:t xml:space="preserve"> </w:t>
      </w:r>
      <w:r w:rsidRPr="00882D2B">
        <w:rPr>
          <w:lang w:val="en-IE"/>
        </w:rPr>
        <w:t>In regions where MTBC circulate</w:t>
      </w:r>
      <w:r w:rsidR="00570A59">
        <w:rPr>
          <w:lang w:val="en-IE"/>
        </w:rPr>
        <w:t>s</w:t>
      </w:r>
      <w:r w:rsidRPr="00882D2B">
        <w:rPr>
          <w:lang w:val="en-IE"/>
        </w:rPr>
        <w:t xml:space="preserve"> in wildlife, multiple </w:t>
      </w:r>
      <w:proofErr w:type="spellStart"/>
      <w:r w:rsidRPr="00882D2B">
        <w:rPr>
          <w:lang w:val="en-IE"/>
        </w:rPr>
        <w:t>spillover</w:t>
      </w:r>
      <w:proofErr w:type="spellEnd"/>
      <w:r w:rsidRPr="00882D2B">
        <w:rPr>
          <w:lang w:val="en-IE"/>
        </w:rPr>
        <w:t xml:space="preserve"> hosts ranging from rodents and small mammals to carnivores and ungulates may exist.</w:t>
      </w:r>
      <w:r w:rsidR="00140119" w:rsidRPr="00882D2B">
        <w:rPr>
          <w:lang w:val="en-IE"/>
        </w:rPr>
        <w:t xml:space="preserve"> </w:t>
      </w:r>
      <w:r w:rsidRPr="00882D2B">
        <w:rPr>
          <w:lang w:val="en-IE"/>
        </w:rPr>
        <w:t>In regions with high prevalence of human tuberculosis and close interface with livestock, humans may represent a maintenance host for livestock</w:t>
      </w:r>
      <w:r w:rsidR="00EF1142">
        <w:rPr>
          <w:lang w:val="en-IE"/>
        </w:rPr>
        <w:t xml:space="preserve"> infections</w:t>
      </w:r>
      <w:r w:rsidRPr="00882D2B">
        <w:rPr>
          <w:lang w:val="en-IE"/>
        </w:rPr>
        <w:t xml:space="preserve">, with </w:t>
      </w:r>
      <w:proofErr w:type="spellStart"/>
      <w:r w:rsidRPr="00882D2B">
        <w:rPr>
          <w:lang w:val="en-IE"/>
        </w:rPr>
        <w:t>spillover</w:t>
      </w:r>
      <w:proofErr w:type="spellEnd"/>
      <w:r w:rsidRPr="00882D2B">
        <w:rPr>
          <w:lang w:val="en-IE"/>
        </w:rPr>
        <w:t xml:space="preserve"> from humans to animals reported for </w:t>
      </w:r>
      <w:r w:rsidRPr="00882D2B">
        <w:rPr>
          <w:i/>
          <w:iCs/>
          <w:lang w:val="en-IE"/>
        </w:rPr>
        <w:t>M.</w:t>
      </w:r>
      <w:r w:rsidR="00F839D0">
        <w:rPr>
          <w:i/>
          <w:iCs/>
          <w:lang w:val="en-IE"/>
        </w:rPr>
        <w:t> </w:t>
      </w:r>
      <w:r w:rsidRPr="00882D2B">
        <w:rPr>
          <w:i/>
          <w:iCs/>
          <w:lang w:val="en-IE"/>
        </w:rPr>
        <w:t>tuberculosis,</w:t>
      </w:r>
      <w:r w:rsidRPr="00882D2B">
        <w:rPr>
          <w:lang w:val="en-IE"/>
        </w:rPr>
        <w:t xml:space="preserve"> </w:t>
      </w:r>
      <w:r w:rsidRPr="00882D2B">
        <w:rPr>
          <w:i/>
          <w:iCs/>
          <w:lang w:val="en-IE"/>
        </w:rPr>
        <w:t>M.</w:t>
      </w:r>
      <w:r w:rsidR="00F839D0">
        <w:rPr>
          <w:i/>
          <w:iCs/>
          <w:lang w:val="en-IE"/>
        </w:rPr>
        <w:t> </w:t>
      </w:r>
      <w:proofErr w:type="spellStart"/>
      <w:r w:rsidRPr="00882D2B">
        <w:rPr>
          <w:i/>
          <w:iCs/>
          <w:lang w:val="en-IE"/>
        </w:rPr>
        <w:t>bovis</w:t>
      </w:r>
      <w:proofErr w:type="spellEnd"/>
      <w:r w:rsidRPr="00882D2B">
        <w:rPr>
          <w:lang w:val="en-IE"/>
        </w:rPr>
        <w:t xml:space="preserve"> and </w:t>
      </w:r>
      <w:r w:rsidRPr="00882D2B">
        <w:rPr>
          <w:i/>
          <w:iCs/>
          <w:lang w:val="en-IE"/>
        </w:rPr>
        <w:t>M.</w:t>
      </w:r>
      <w:r w:rsidR="00F839D0">
        <w:rPr>
          <w:i/>
          <w:iCs/>
          <w:lang w:val="en-IE"/>
        </w:rPr>
        <w:t> </w:t>
      </w:r>
      <w:proofErr w:type="spellStart"/>
      <w:r w:rsidRPr="00882D2B">
        <w:rPr>
          <w:i/>
          <w:iCs/>
          <w:lang w:val="en-IE"/>
        </w:rPr>
        <w:t>orygis</w:t>
      </w:r>
      <w:proofErr w:type="spellEnd"/>
      <w:r w:rsidRPr="00882D2B">
        <w:rPr>
          <w:lang w:val="en-IE"/>
        </w:rPr>
        <w:t xml:space="preserve">. </w:t>
      </w:r>
    </w:p>
    <w:p w14:paraId="01345422" w14:textId="29FF409B" w:rsidR="007C1D3E" w:rsidRPr="00882D2B" w:rsidRDefault="007C1D3E" w:rsidP="00001CA4">
      <w:pPr>
        <w:pStyle w:val="1Para"/>
        <w:rPr>
          <w:lang w:val="en-IE"/>
        </w:rPr>
      </w:pPr>
      <w:r w:rsidRPr="00882D2B">
        <w:rPr>
          <w:lang w:val="en-IE"/>
        </w:rPr>
        <w:lastRenderedPageBreak/>
        <w:t>There is increasing evidence of regional and geographic</w:t>
      </w:r>
      <w:r w:rsidR="009431C4" w:rsidRPr="00882D2B">
        <w:rPr>
          <w:lang w:val="en-IE"/>
        </w:rPr>
        <w:t>al</w:t>
      </w:r>
      <w:r w:rsidRPr="00882D2B">
        <w:rPr>
          <w:lang w:val="en-IE"/>
        </w:rPr>
        <w:t xml:space="preserve"> variation in distribution of members of the MTBC reported amongst livestock species.</w:t>
      </w:r>
      <w:r w:rsidR="00140119" w:rsidRPr="00882D2B">
        <w:rPr>
          <w:lang w:val="en-IE"/>
        </w:rPr>
        <w:t xml:space="preserve"> </w:t>
      </w:r>
      <w:r w:rsidRPr="00882D2B">
        <w:rPr>
          <w:lang w:val="en-IE"/>
        </w:rPr>
        <w:t xml:space="preserve">For instance, while </w:t>
      </w:r>
      <w:r w:rsidR="00EB77B9">
        <w:rPr>
          <w:i/>
          <w:iCs/>
          <w:lang w:val="en-IE"/>
        </w:rPr>
        <w:t>M. </w:t>
      </w:r>
      <w:proofErr w:type="spellStart"/>
      <w:r w:rsidRPr="00882D2B">
        <w:rPr>
          <w:i/>
          <w:iCs/>
          <w:lang w:val="en-IE"/>
        </w:rPr>
        <w:t>bovis</w:t>
      </w:r>
      <w:proofErr w:type="spellEnd"/>
      <w:r w:rsidRPr="00882D2B">
        <w:rPr>
          <w:lang w:val="en-IE"/>
        </w:rPr>
        <w:t xml:space="preserve"> appears the predominant cause of tuberculosis in cattle in Africa, much of Western Europe, and </w:t>
      </w:r>
      <w:r w:rsidR="00FF560E">
        <w:rPr>
          <w:lang w:val="en-IE"/>
        </w:rPr>
        <w:t>the Americas</w:t>
      </w:r>
      <w:r w:rsidRPr="00882D2B">
        <w:rPr>
          <w:lang w:val="en-IE"/>
        </w:rPr>
        <w:t xml:space="preserve">, </w:t>
      </w:r>
      <w:r w:rsidR="00CA1DFF" w:rsidRPr="00882D2B">
        <w:rPr>
          <w:i/>
          <w:iCs/>
          <w:lang w:val="en-IE"/>
        </w:rPr>
        <w:t xml:space="preserve">M. </w:t>
      </w:r>
      <w:proofErr w:type="spellStart"/>
      <w:r w:rsidR="00CA1DFF" w:rsidRPr="00882D2B">
        <w:rPr>
          <w:i/>
          <w:iCs/>
          <w:lang w:val="en-IE"/>
        </w:rPr>
        <w:t>caprae</w:t>
      </w:r>
      <w:proofErr w:type="spellEnd"/>
      <w:r w:rsidR="00CA1DFF" w:rsidRPr="00882D2B">
        <w:rPr>
          <w:lang w:val="en-IE"/>
        </w:rPr>
        <w:t xml:space="preserve"> appears to be the major cause of </w:t>
      </w:r>
      <w:r w:rsidR="00CA1DFF">
        <w:rPr>
          <w:lang w:val="en-IE"/>
        </w:rPr>
        <w:t xml:space="preserve">tuberculosis in </w:t>
      </w:r>
      <w:r w:rsidR="00CA1DFF" w:rsidRPr="00882D2B">
        <w:rPr>
          <w:lang w:val="en-IE"/>
        </w:rPr>
        <w:t>cattle</w:t>
      </w:r>
      <w:r w:rsidR="00CA1DFF">
        <w:rPr>
          <w:lang w:val="en-IE"/>
        </w:rPr>
        <w:t xml:space="preserve"> </w:t>
      </w:r>
      <w:r w:rsidR="00CA1DFF" w:rsidRPr="00882D2B">
        <w:rPr>
          <w:lang w:val="en-IE"/>
        </w:rPr>
        <w:t xml:space="preserve">in central European countries. </w:t>
      </w:r>
      <w:r w:rsidRPr="00882D2B">
        <w:rPr>
          <w:lang w:val="en-IE"/>
        </w:rPr>
        <w:t xml:space="preserve">Similarly, there is increasing evidence of </w:t>
      </w:r>
      <w:r w:rsidRPr="00882D2B">
        <w:rPr>
          <w:i/>
          <w:iCs/>
          <w:lang w:val="en-IE"/>
        </w:rPr>
        <w:t>M.</w:t>
      </w:r>
      <w:r w:rsidR="00F839D0">
        <w:rPr>
          <w:i/>
          <w:iCs/>
          <w:lang w:val="en-IE"/>
        </w:rPr>
        <w:t> </w:t>
      </w:r>
      <w:r w:rsidRPr="00882D2B">
        <w:rPr>
          <w:i/>
          <w:iCs/>
          <w:lang w:val="en-IE"/>
        </w:rPr>
        <w:t>tuberculosis</w:t>
      </w:r>
      <w:r w:rsidRPr="00882D2B">
        <w:rPr>
          <w:lang w:val="en-IE"/>
        </w:rPr>
        <w:t xml:space="preserve">, </w:t>
      </w:r>
      <w:r w:rsidRPr="00882D2B">
        <w:rPr>
          <w:i/>
          <w:iCs/>
          <w:lang w:val="en-IE"/>
        </w:rPr>
        <w:t>M.</w:t>
      </w:r>
      <w:r w:rsidR="00F839D0">
        <w:rPr>
          <w:i/>
          <w:iCs/>
          <w:lang w:val="en-IE"/>
        </w:rPr>
        <w:t> </w:t>
      </w:r>
      <w:proofErr w:type="spellStart"/>
      <w:r w:rsidRPr="00882D2B">
        <w:rPr>
          <w:i/>
          <w:iCs/>
          <w:lang w:val="en-IE"/>
        </w:rPr>
        <w:t>orygis</w:t>
      </w:r>
      <w:proofErr w:type="spellEnd"/>
      <w:r w:rsidRPr="00882D2B">
        <w:rPr>
          <w:lang w:val="en-IE"/>
        </w:rPr>
        <w:t xml:space="preserve">, and </w:t>
      </w:r>
      <w:r w:rsidR="00EB77B9">
        <w:rPr>
          <w:i/>
          <w:iCs/>
          <w:lang w:val="en-IE"/>
        </w:rPr>
        <w:t>M. </w:t>
      </w:r>
      <w:proofErr w:type="spellStart"/>
      <w:r w:rsidRPr="00882D2B">
        <w:rPr>
          <w:i/>
          <w:iCs/>
          <w:lang w:val="en-IE"/>
        </w:rPr>
        <w:t>caprae</w:t>
      </w:r>
      <w:proofErr w:type="spellEnd"/>
      <w:r w:rsidRPr="00882D2B">
        <w:rPr>
          <w:lang w:val="en-IE"/>
        </w:rPr>
        <w:t xml:space="preserve"> representing major causes of TB in </w:t>
      </w:r>
      <w:r w:rsidR="00CC5BE0" w:rsidRPr="00882D2B">
        <w:rPr>
          <w:lang w:val="en-IE"/>
        </w:rPr>
        <w:t xml:space="preserve">cattle </w:t>
      </w:r>
      <w:r w:rsidR="00CC5BE0">
        <w:rPr>
          <w:lang w:val="en-IE"/>
        </w:rPr>
        <w:t xml:space="preserve">in </w:t>
      </w:r>
      <w:r w:rsidRPr="00882D2B">
        <w:rPr>
          <w:lang w:val="en-IE"/>
        </w:rPr>
        <w:t>South Asia.</w:t>
      </w:r>
    </w:p>
    <w:p w14:paraId="34C20F32" w14:textId="4E7ED034" w:rsidR="007C1D3E" w:rsidRPr="00882D2B" w:rsidRDefault="007C1D3E" w:rsidP="00001CA4">
      <w:pPr>
        <w:pStyle w:val="1Para"/>
        <w:rPr>
          <w:b/>
          <w:bCs/>
          <w:lang w:val="en-IE"/>
        </w:rPr>
      </w:pPr>
      <w:r w:rsidRPr="00882D2B">
        <w:rPr>
          <w:lang w:val="en-IE"/>
        </w:rPr>
        <w:t>Tuberculosis is typically a chronic disease, with clinical signs that may appear after several months to years.</w:t>
      </w:r>
      <w:r w:rsidR="00140119" w:rsidRPr="00882D2B">
        <w:rPr>
          <w:lang w:val="en-IE"/>
        </w:rPr>
        <w:t xml:space="preserve"> </w:t>
      </w:r>
      <w:r w:rsidRPr="00882D2B">
        <w:rPr>
          <w:lang w:val="en-IE"/>
        </w:rPr>
        <w:t>Infected animals may remain quiescent for an extended duration and reactivate after several years or when immunosuppressed.</w:t>
      </w:r>
      <w:r w:rsidR="00140119" w:rsidRPr="00882D2B">
        <w:rPr>
          <w:lang w:val="en-IE"/>
        </w:rPr>
        <w:t xml:space="preserve"> </w:t>
      </w:r>
      <w:r w:rsidRPr="00882D2B">
        <w:rPr>
          <w:lang w:val="en-IE"/>
        </w:rPr>
        <w:t>Acute or per-acute infections occur rarely in animals, and if they do, are likely in animals with an underlying co-morbidity such as being immunosuppressed.</w:t>
      </w:r>
    </w:p>
    <w:p w14:paraId="55BB9C05" w14:textId="2664548F" w:rsidR="007C1D3E" w:rsidRPr="00882D2B" w:rsidRDefault="007C1D3E" w:rsidP="00001CA4">
      <w:pPr>
        <w:pStyle w:val="1Para"/>
        <w:rPr>
          <w:lang w:val="en-IE"/>
        </w:rPr>
      </w:pPr>
      <w:r w:rsidRPr="00882D2B">
        <w:rPr>
          <w:lang w:val="en-IE"/>
        </w:rPr>
        <w:t>Infection typically occurs through the inhalation, ingestion or direct contact of infected material through mucus membranes or breaks in the skin.</w:t>
      </w:r>
      <w:r w:rsidR="00140119" w:rsidRPr="00882D2B">
        <w:rPr>
          <w:lang w:val="en-IE"/>
        </w:rPr>
        <w:t xml:space="preserve"> </w:t>
      </w:r>
      <w:r w:rsidRPr="00882D2B">
        <w:rPr>
          <w:lang w:val="en-IE"/>
        </w:rPr>
        <w:t xml:space="preserve">Risk of </w:t>
      </w:r>
      <w:r w:rsidR="006105B0">
        <w:rPr>
          <w:lang w:val="en-IE"/>
        </w:rPr>
        <w:t>infection</w:t>
      </w:r>
      <w:r w:rsidRPr="00882D2B">
        <w:rPr>
          <w:lang w:val="en-IE"/>
        </w:rPr>
        <w:t xml:space="preserve"> may depend upon dose, route of infection, or a number of pathogen, host or animal husbandry related variables. Younger animals are considered to be more susceptible to infection</w:t>
      </w:r>
      <w:r w:rsidRPr="00C3427E">
        <w:rPr>
          <w:strike/>
          <w:lang w:val="en-IE"/>
        </w:rPr>
        <w:t xml:space="preserve"> </w:t>
      </w:r>
      <w:r w:rsidRPr="00C3427E">
        <w:rPr>
          <w:strike/>
          <w:highlight w:val="yellow"/>
          <w:lang w:val="en-IE"/>
        </w:rPr>
        <w:t>as compared with older ones</w:t>
      </w:r>
      <w:r w:rsidR="00FE2199" w:rsidRPr="00882D2B">
        <w:rPr>
          <w:lang w:val="en-IE"/>
        </w:rPr>
        <w:t>, as are immunosuppressed, pregnant or malnourished animals</w:t>
      </w:r>
      <w:r w:rsidRPr="00882D2B">
        <w:rPr>
          <w:lang w:val="en-IE"/>
        </w:rPr>
        <w:t>.</w:t>
      </w:r>
      <w:r w:rsidR="00140119" w:rsidRPr="00882D2B">
        <w:rPr>
          <w:lang w:val="en-IE"/>
        </w:rPr>
        <w:t xml:space="preserve"> </w:t>
      </w:r>
    </w:p>
    <w:p w14:paraId="2D64E1B1" w14:textId="1874FCE1" w:rsidR="007C1D3E" w:rsidRPr="00882D2B" w:rsidRDefault="007C1D3E" w:rsidP="002C6221">
      <w:pPr>
        <w:pStyle w:val="1Para"/>
        <w:rPr>
          <w:lang w:val="en-IE"/>
        </w:rPr>
      </w:pPr>
      <w:r w:rsidRPr="00882D2B">
        <w:rPr>
          <w:lang w:val="en-IE"/>
        </w:rPr>
        <w:t>While inhalation of infected respiratory droplets is considered as the primary mode of transmission for MTBC in livestock species, infection through ingestion of contaminated milk (particularly in neonates), feed, or water as well as through contact with infected exudates, urine, f</w:t>
      </w:r>
      <w:r w:rsidR="009431C4" w:rsidRPr="00882D2B">
        <w:rPr>
          <w:lang w:val="en-IE"/>
        </w:rPr>
        <w:t>a</w:t>
      </w:r>
      <w:r w:rsidRPr="00882D2B">
        <w:rPr>
          <w:lang w:val="en-IE"/>
        </w:rPr>
        <w:t>eces, as well as vaginal secretions and semen may also occur.</w:t>
      </w:r>
      <w:r w:rsidR="002C6221">
        <w:rPr>
          <w:lang w:val="en-IE"/>
        </w:rPr>
        <w:t xml:space="preserve"> </w:t>
      </w:r>
      <w:r w:rsidR="00000BE7" w:rsidRPr="00882D2B">
        <w:rPr>
          <w:lang w:val="en-IE"/>
        </w:rPr>
        <w:t xml:space="preserve">Inhaled </w:t>
      </w:r>
      <w:r w:rsidRPr="00882D2B">
        <w:rPr>
          <w:lang w:val="en-IE"/>
        </w:rPr>
        <w:t>bacilli are phagocytosed by alveolar macrophages.</w:t>
      </w:r>
      <w:r w:rsidR="00140119" w:rsidRPr="00882D2B">
        <w:rPr>
          <w:lang w:val="en-IE"/>
        </w:rPr>
        <w:t xml:space="preserve"> </w:t>
      </w:r>
      <w:r w:rsidRPr="00882D2B">
        <w:rPr>
          <w:lang w:val="en-IE"/>
        </w:rPr>
        <w:t>Depending on factors including dose and route of infection along with pathogen and host covariates, the pathogen may not survive to initiate an active infection, or the macrophages may successfully clear infection.</w:t>
      </w:r>
      <w:r w:rsidR="00140119" w:rsidRPr="00882D2B">
        <w:rPr>
          <w:lang w:val="en-IE"/>
        </w:rPr>
        <w:t xml:space="preserve"> </w:t>
      </w:r>
      <w:r w:rsidRPr="00882D2B">
        <w:rPr>
          <w:lang w:val="en-IE"/>
        </w:rPr>
        <w:t>When the infection is not immediately cleared, the organism may remain quiescent, or actively proliferate.</w:t>
      </w:r>
      <w:r w:rsidR="00140119" w:rsidRPr="00882D2B">
        <w:rPr>
          <w:lang w:val="en-IE"/>
        </w:rPr>
        <w:t xml:space="preserve"> </w:t>
      </w:r>
      <w:r w:rsidRPr="00882D2B">
        <w:rPr>
          <w:lang w:val="en-IE"/>
        </w:rPr>
        <w:t>Active proliferation of the organism and the failed host response to contain the infection results in focal or disseminated lesions that consist of dead and degenerate macrophages surrounded by multiple lymphoid origin cells.</w:t>
      </w:r>
      <w:r w:rsidR="00140119" w:rsidRPr="00882D2B">
        <w:rPr>
          <w:lang w:val="en-IE"/>
        </w:rPr>
        <w:t xml:space="preserve"> </w:t>
      </w:r>
      <w:r w:rsidRPr="00882D2B">
        <w:rPr>
          <w:lang w:val="en-IE"/>
        </w:rPr>
        <w:t>These later coalesce into multinucleated giant cells, with ca</w:t>
      </w:r>
      <w:r w:rsidR="007A5088" w:rsidRPr="00882D2B">
        <w:rPr>
          <w:lang w:val="en-IE"/>
        </w:rPr>
        <w:t>seation</w:t>
      </w:r>
      <w:r w:rsidRPr="00882D2B">
        <w:rPr>
          <w:lang w:val="en-IE"/>
        </w:rPr>
        <w:t xml:space="preserve"> </w:t>
      </w:r>
      <w:r w:rsidR="007A5088" w:rsidRPr="00882D2B">
        <w:rPr>
          <w:lang w:val="en-IE"/>
        </w:rPr>
        <w:t xml:space="preserve">or calcification </w:t>
      </w:r>
      <w:r w:rsidRPr="00882D2B">
        <w:rPr>
          <w:lang w:val="en-IE"/>
        </w:rPr>
        <w:t>of the necrotic cent</w:t>
      </w:r>
      <w:r w:rsidR="007A5088" w:rsidRPr="00882D2B">
        <w:rPr>
          <w:lang w:val="en-IE"/>
        </w:rPr>
        <w:t>re</w:t>
      </w:r>
      <w:r w:rsidRPr="00882D2B">
        <w:rPr>
          <w:lang w:val="en-IE"/>
        </w:rPr>
        <w:t xml:space="preserve"> followed by formation of a granuloma surrounded by a fibrous capsule - the prototypical “tubercle”. </w:t>
      </w:r>
    </w:p>
    <w:p w14:paraId="04BBCC98" w14:textId="67FDC661" w:rsidR="0050581A" w:rsidRPr="00882D2B" w:rsidRDefault="0050581A" w:rsidP="0050581A">
      <w:pPr>
        <w:pStyle w:val="1Para"/>
        <w:rPr>
          <w:lang w:val="en-IE"/>
        </w:rPr>
      </w:pPr>
      <w:r w:rsidRPr="00882D2B">
        <w:rPr>
          <w:lang w:val="en-IE"/>
        </w:rPr>
        <w:t xml:space="preserve">These granulomatous lesions vary considerably in size and are often encapsulated. They may be caseous, </w:t>
      </w:r>
      <w:proofErr w:type="spellStart"/>
      <w:r w:rsidRPr="00882D2B">
        <w:rPr>
          <w:lang w:val="en-IE"/>
        </w:rPr>
        <w:t>caseo</w:t>
      </w:r>
      <w:proofErr w:type="spellEnd"/>
      <w:r w:rsidRPr="00882D2B">
        <w:rPr>
          <w:lang w:val="en-IE"/>
        </w:rPr>
        <w:t>-calcareous, or calcified in cattle and many other mammalian species. In cervids or other animals with a more rapidly progressing disease, pus-filled abscesses are apparent instead of the classic tubercles. While almost any organ system might appear lesioned, in animals where inhalation is the route of infection, tubercles are often observed in the lungs as well as in cranio-thoracic lymph nodes. In contrast, in animals in which the primary route of infection is ingestion, abdominal organs as well as mesenteric lymph nodes are more likely to harbour lesions. In some animals, including those with advanced disease, widely disseminated infections may occur and result in miliary tuberculosis with small foci scattered throughout a tissue.</w:t>
      </w:r>
    </w:p>
    <w:p w14:paraId="1232FF2C" w14:textId="3617D7DD" w:rsidR="007C1D3E" w:rsidRPr="00882D2B" w:rsidRDefault="007C1D3E" w:rsidP="009A1D5C">
      <w:pPr>
        <w:pStyle w:val="1Para"/>
        <w:rPr>
          <w:lang w:val="en-IE"/>
        </w:rPr>
      </w:pPr>
      <w:r w:rsidRPr="00882D2B">
        <w:rPr>
          <w:lang w:val="en-IE"/>
        </w:rPr>
        <w:t>The involvement of draining regional lymph nodes is common in cases of active TB.</w:t>
      </w:r>
      <w:r w:rsidR="00140119" w:rsidRPr="00882D2B">
        <w:rPr>
          <w:lang w:val="en-IE"/>
        </w:rPr>
        <w:t xml:space="preserve"> </w:t>
      </w:r>
      <w:r w:rsidRPr="00882D2B">
        <w:rPr>
          <w:lang w:val="en-IE"/>
        </w:rPr>
        <w:t>In a subset of animals, lesions remain local</w:t>
      </w:r>
      <w:r w:rsidR="00861AC4" w:rsidRPr="00882D2B">
        <w:rPr>
          <w:lang w:val="en-IE"/>
        </w:rPr>
        <w:t>is</w:t>
      </w:r>
      <w:r w:rsidRPr="00882D2B">
        <w:rPr>
          <w:lang w:val="en-IE"/>
        </w:rPr>
        <w:t>ed, resulting in chronic disease and persistent infection.</w:t>
      </w:r>
      <w:r w:rsidR="00140119" w:rsidRPr="00882D2B">
        <w:rPr>
          <w:lang w:val="en-IE"/>
        </w:rPr>
        <w:t xml:space="preserve"> </w:t>
      </w:r>
      <w:r w:rsidRPr="00882D2B">
        <w:rPr>
          <w:lang w:val="en-IE"/>
        </w:rPr>
        <w:t xml:space="preserve">In some immunosuppressed animals or </w:t>
      </w:r>
      <w:r w:rsidR="007A5088" w:rsidRPr="00882D2B">
        <w:rPr>
          <w:lang w:val="en-IE"/>
        </w:rPr>
        <w:t xml:space="preserve">those </w:t>
      </w:r>
      <w:r w:rsidRPr="00882D2B">
        <w:rPr>
          <w:lang w:val="en-IE"/>
        </w:rPr>
        <w:t>with advanced infection, lymphatic or h</w:t>
      </w:r>
      <w:r w:rsidR="003B1EEC">
        <w:rPr>
          <w:lang w:val="en-IE"/>
        </w:rPr>
        <w:t>a</w:t>
      </w:r>
      <w:r w:rsidRPr="00882D2B">
        <w:rPr>
          <w:lang w:val="en-IE"/>
        </w:rPr>
        <w:t>ematogenous dissemination may occur.</w:t>
      </w:r>
      <w:r w:rsidR="00140119" w:rsidRPr="00882D2B">
        <w:rPr>
          <w:lang w:val="en-IE"/>
        </w:rPr>
        <w:t xml:space="preserve"> </w:t>
      </w:r>
      <w:r w:rsidRPr="00882D2B">
        <w:rPr>
          <w:lang w:val="en-IE"/>
        </w:rPr>
        <w:t>This results in a general</w:t>
      </w:r>
      <w:r w:rsidR="00861AC4" w:rsidRPr="00882D2B">
        <w:rPr>
          <w:lang w:val="en-IE"/>
        </w:rPr>
        <w:t>is</w:t>
      </w:r>
      <w:r w:rsidRPr="00882D2B">
        <w:rPr>
          <w:lang w:val="en-IE"/>
        </w:rPr>
        <w:t xml:space="preserve">ed infection, or miliary TB, with nodular lesions in multiple organ systems including the lungs, liver, kidney, spleen, mammary glands, </w:t>
      </w:r>
      <w:r w:rsidR="007A5088" w:rsidRPr="00882D2B">
        <w:rPr>
          <w:lang w:val="en-IE"/>
        </w:rPr>
        <w:t>gastrointestinal</w:t>
      </w:r>
      <w:r w:rsidRPr="00882D2B">
        <w:rPr>
          <w:lang w:val="en-IE"/>
        </w:rPr>
        <w:t xml:space="preserve"> tract and </w:t>
      </w:r>
      <w:r w:rsidR="007A5088" w:rsidRPr="00882D2B">
        <w:rPr>
          <w:lang w:val="en-IE"/>
        </w:rPr>
        <w:t>the central nervous system</w:t>
      </w:r>
      <w:r w:rsidRPr="00882D2B">
        <w:rPr>
          <w:lang w:val="en-IE"/>
        </w:rPr>
        <w:t>. In such advanced cases, the disease is invariably fatal if left untreated</w:t>
      </w:r>
      <w:r w:rsidR="00FE2199" w:rsidRPr="00E12CA0">
        <w:rPr>
          <w:strike/>
          <w:lang w:val="en-IE"/>
        </w:rPr>
        <w:t xml:space="preserve"> </w:t>
      </w:r>
      <w:r w:rsidR="00FE2199" w:rsidRPr="00E12CA0">
        <w:rPr>
          <w:strike/>
          <w:highlight w:val="yellow"/>
          <w:lang w:val="en-IE"/>
        </w:rPr>
        <w:t>or unattended</w:t>
      </w:r>
      <w:r w:rsidRPr="00882D2B">
        <w:rPr>
          <w:lang w:val="en-IE"/>
        </w:rPr>
        <w:t>.</w:t>
      </w:r>
      <w:r w:rsidR="00140119" w:rsidRPr="00882D2B">
        <w:rPr>
          <w:lang w:val="en-IE"/>
        </w:rPr>
        <w:t xml:space="preserve"> </w:t>
      </w:r>
    </w:p>
    <w:p w14:paraId="0461C201" w14:textId="77C5043A" w:rsidR="004A5EB4" w:rsidRPr="00882D2B" w:rsidRDefault="007C1D3E" w:rsidP="009431C4">
      <w:pPr>
        <w:pStyle w:val="1Para"/>
        <w:rPr>
          <w:lang w:val="en-IE"/>
        </w:rPr>
      </w:pPr>
      <w:r w:rsidRPr="00882D2B">
        <w:rPr>
          <w:lang w:val="en-IE"/>
        </w:rPr>
        <w:t>There are no pathognom</w:t>
      </w:r>
      <w:r w:rsidR="00016700">
        <w:rPr>
          <w:lang w:val="en-IE"/>
        </w:rPr>
        <w:t>on</w:t>
      </w:r>
      <w:r w:rsidRPr="00882D2B">
        <w:rPr>
          <w:lang w:val="en-IE"/>
        </w:rPr>
        <w:t>ic or distinctive clinical features associated with mammalian tuberculosis.</w:t>
      </w:r>
      <w:r w:rsidR="00140119" w:rsidRPr="00882D2B">
        <w:rPr>
          <w:lang w:val="en-IE"/>
        </w:rPr>
        <w:t xml:space="preserve"> </w:t>
      </w:r>
      <w:r w:rsidRPr="00882D2B">
        <w:rPr>
          <w:lang w:val="en-IE"/>
        </w:rPr>
        <w:t>The disease has a typical slow onset, and infected animals may actively transmit infection without displaying any apparent signs.</w:t>
      </w:r>
      <w:r w:rsidR="00140119" w:rsidRPr="00882D2B">
        <w:rPr>
          <w:lang w:val="en-IE"/>
        </w:rPr>
        <w:t xml:space="preserve"> </w:t>
      </w:r>
      <w:r w:rsidRPr="00882D2B">
        <w:rPr>
          <w:lang w:val="en-IE"/>
        </w:rPr>
        <w:t>The most frequently observed clinical signs in cattle include a progressive weight loss, weakness, inappetence, low-grade elevated or fluctuating body temperature, coughing and lymphadenopathy.</w:t>
      </w:r>
      <w:r w:rsidR="00140119" w:rsidRPr="00882D2B">
        <w:rPr>
          <w:lang w:val="en-IE"/>
        </w:rPr>
        <w:t xml:space="preserve"> </w:t>
      </w:r>
    </w:p>
    <w:p w14:paraId="7FEDCA25" w14:textId="5E8597AF" w:rsidR="007C1D3E" w:rsidRPr="00882D2B" w:rsidRDefault="007C1D3E" w:rsidP="004A5EB4">
      <w:pPr>
        <w:pStyle w:val="1Para"/>
        <w:rPr>
          <w:lang w:val="en-IE"/>
        </w:rPr>
      </w:pPr>
      <w:r w:rsidRPr="00882D2B">
        <w:rPr>
          <w:lang w:val="en-IE"/>
        </w:rPr>
        <w:t>The enlargement of superficial lymph nodes is often observed.</w:t>
      </w:r>
      <w:r w:rsidR="00140119" w:rsidRPr="00882D2B">
        <w:rPr>
          <w:lang w:val="en-IE"/>
        </w:rPr>
        <w:t xml:space="preserve"> </w:t>
      </w:r>
      <w:r w:rsidRPr="00882D2B">
        <w:rPr>
          <w:lang w:val="en-IE"/>
        </w:rPr>
        <w:t>In advanced cases, these may rupture and drain.</w:t>
      </w:r>
      <w:r w:rsidR="00140119" w:rsidRPr="00882D2B">
        <w:rPr>
          <w:lang w:val="en-IE"/>
        </w:rPr>
        <w:t xml:space="preserve"> </w:t>
      </w:r>
      <w:r w:rsidRPr="00882D2B">
        <w:rPr>
          <w:lang w:val="en-IE"/>
        </w:rPr>
        <w:t>Retropharyngeal lymph nodes may also be affected, and the enlargement of deeper lymph nodes may result in obstruction of blood vessels or lymphatics in the respiratory and or gastrointestinal tracts.</w:t>
      </w:r>
      <w:r w:rsidR="004A5EB4" w:rsidRPr="00882D2B">
        <w:rPr>
          <w:lang w:val="en-IE"/>
        </w:rPr>
        <w:t xml:space="preserve"> </w:t>
      </w:r>
      <w:r w:rsidRPr="00882D2B">
        <w:rPr>
          <w:lang w:val="en-IE"/>
        </w:rPr>
        <w:t>Respiratory involvement is usually indicated by a moist, intermittent cough that is worsened in cold conditions or during exertion, with the onset of dyspn</w:t>
      </w:r>
      <w:r w:rsidR="00A32B28">
        <w:rPr>
          <w:lang w:val="en-IE"/>
        </w:rPr>
        <w:t>o</w:t>
      </w:r>
      <w:r w:rsidRPr="00882D2B">
        <w:rPr>
          <w:lang w:val="en-IE"/>
        </w:rPr>
        <w:t>ea or tachypn</w:t>
      </w:r>
      <w:r w:rsidR="008407DC">
        <w:rPr>
          <w:lang w:val="en-IE"/>
        </w:rPr>
        <w:t>o</w:t>
      </w:r>
      <w:r w:rsidRPr="00882D2B">
        <w:rPr>
          <w:lang w:val="en-IE"/>
        </w:rPr>
        <w:t>ea in more advanced cases.</w:t>
      </w:r>
      <w:r w:rsidR="00140119" w:rsidRPr="00882D2B">
        <w:rPr>
          <w:lang w:val="en-IE"/>
        </w:rPr>
        <w:t xml:space="preserve"> </w:t>
      </w:r>
      <w:r w:rsidRPr="00882D2B">
        <w:rPr>
          <w:lang w:val="en-IE"/>
        </w:rPr>
        <w:t>Alterations in gastrointestinal function and motility, including diarrh</w:t>
      </w:r>
      <w:r w:rsidR="008407DC">
        <w:rPr>
          <w:lang w:val="en-IE"/>
        </w:rPr>
        <w:t>o</w:t>
      </w:r>
      <w:r w:rsidRPr="00882D2B">
        <w:rPr>
          <w:lang w:val="en-IE"/>
        </w:rPr>
        <w:t>ea or, less frequently, constipation may be observed</w:t>
      </w:r>
      <w:r w:rsidR="005927A4" w:rsidRPr="00882D2B">
        <w:rPr>
          <w:lang w:val="en-IE"/>
        </w:rPr>
        <w:t>. Red deer</w:t>
      </w:r>
      <w:r w:rsidR="00122029">
        <w:rPr>
          <w:lang w:val="en-IE"/>
        </w:rPr>
        <w:t>,</w:t>
      </w:r>
      <w:r w:rsidR="005927A4" w:rsidRPr="00882D2B">
        <w:rPr>
          <w:lang w:val="en-IE"/>
        </w:rPr>
        <w:t xml:space="preserve"> other cervids</w:t>
      </w:r>
      <w:r w:rsidR="00292C82">
        <w:rPr>
          <w:lang w:val="en-IE"/>
        </w:rPr>
        <w:t xml:space="preserve"> and camelids</w:t>
      </w:r>
      <w:r w:rsidR="005927A4" w:rsidRPr="00882D2B">
        <w:rPr>
          <w:lang w:val="en-IE"/>
        </w:rPr>
        <w:t xml:space="preserve"> often have an accelerated disease (as compared with cattle) with multi-organ involvement.</w:t>
      </w:r>
      <w:r w:rsidR="00140119" w:rsidRPr="00882D2B">
        <w:rPr>
          <w:lang w:val="en-IE"/>
        </w:rPr>
        <w:t xml:space="preserve"> </w:t>
      </w:r>
      <w:r w:rsidR="00CC5BE0" w:rsidRPr="00882D2B">
        <w:rPr>
          <w:lang w:val="en-IE"/>
        </w:rPr>
        <w:t xml:space="preserve">Camelids and equids </w:t>
      </w:r>
      <w:r w:rsidR="00307C95">
        <w:rPr>
          <w:lang w:val="en-IE"/>
        </w:rPr>
        <w:t>may present wit</w:t>
      </w:r>
      <w:r w:rsidR="00D410D5">
        <w:rPr>
          <w:lang w:val="en-IE"/>
        </w:rPr>
        <w:t>h</w:t>
      </w:r>
      <w:r w:rsidR="005927A4" w:rsidRPr="00882D2B">
        <w:rPr>
          <w:lang w:val="en-IE"/>
        </w:rPr>
        <w:t xml:space="preserve"> more </w:t>
      </w:r>
      <w:r w:rsidR="0081647A" w:rsidRPr="00882D2B">
        <w:rPr>
          <w:lang w:val="en-IE"/>
        </w:rPr>
        <w:t xml:space="preserve">gastrointestinal </w:t>
      </w:r>
      <w:r w:rsidR="005927A4" w:rsidRPr="00882D2B">
        <w:rPr>
          <w:lang w:val="en-IE"/>
        </w:rPr>
        <w:t>signs.</w:t>
      </w:r>
      <w:r w:rsidR="00140119" w:rsidRPr="00882D2B">
        <w:rPr>
          <w:lang w:val="en-IE"/>
        </w:rPr>
        <w:t xml:space="preserve"> </w:t>
      </w:r>
      <w:r w:rsidR="005927A4" w:rsidRPr="00882D2B">
        <w:rPr>
          <w:lang w:val="en-IE"/>
        </w:rPr>
        <w:t>Elephant do not show typical signs until very late in disease.</w:t>
      </w:r>
      <w:r w:rsidR="00140119" w:rsidRPr="00882D2B">
        <w:rPr>
          <w:lang w:val="en-IE"/>
        </w:rPr>
        <w:t xml:space="preserve"> </w:t>
      </w:r>
    </w:p>
    <w:p w14:paraId="64D545D8" w14:textId="3D4C5A38" w:rsidR="007C1D3E" w:rsidRPr="00882D2B" w:rsidRDefault="007C1D3E" w:rsidP="004A5EB4">
      <w:pPr>
        <w:pStyle w:val="1Para"/>
        <w:rPr>
          <w:lang w:val="en-IE"/>
        </w:rPr>
      </w:pPr>
      <w:r w:rsidRPr="00882D2B">
        <w:rPr>
          <w:lang w:val="en-IE"/>
        </w:rPr>
        <w:t xml:space="preserve">The ante-mortem diagnosis of tuberculosis in animals may be performed by direct detection of the organism, or indirectly, by evidence of host immune response to infection </w:t>
      </w:r>
      <w:r w:rsidR="00E90350">
        <w:rPr>
          <w:lang w:val="en-IE"/>
        </w:rPr>
        <w:t>using</w:t>
      </w:r>
      <w:r w:rsidRPr="00882D2B">
        <w:rPr>
          <w:lang w:val="en-IE"/>
        </w:rPr>
        <w:t xml:space="preserve"> the tuberculin skin test (TST)</w:t>
      </w:r>
      <w:r w:rsidR="00045B0A" w:rsidRPr="00E825B1">
        <w:rPr>
          <w:u w:val="double"/>
          <w:lang w:val="en-IE"/>
        </w:rPr>
        <w:t>,</w:t>
      </w:r>
      <w:r w:rsidRPr="00882D2B">
        <w:rPr>
          <w:lang w:val="en-IE"/>
        </w:rPr>
        <w:t xml:space="preserve"> </w:t>
      </w:r>
      <w:r w:rsidRPr="00E12CA0">
        <w:rPr>
          <w:strike/>
          <w:highlight w:val="yellow"/>
          <w:lang w:val="en-IE"/>
        </w:rPr>
        <w:t>or</w:t>
      </w:r>
      <w:r w:rsidRPr="00E12CA0">
        <w:rPr>
          <w:strike/>
          <w:lang w:val="en-IE"/>
        </w:rPr>
        <w:t xml:space="preserve"> </w:t>
      </w:r>
      <w:r w:rsidRPr="00882D2B">
        <w:rPr>
          <w:lang w:val="en-IE"/>
        </w:rPr>
        <w:t>the interferon-gamma release assay</w:t>
      </w:r>
      <w:r w:rsidR="00E96642">
        <w:rPr>
          <w:lang w:val="en-IE"/>
        </w:rPr>
        <w:t xml:space="preserve"> (IGRA)</w:t>
      </w:r>
      <w:r w:rsidR="00E3117F">
        <w:rPr>
          <w:lang w:val="en-IE"/>
        </w:rPr>
        <w:t xml:space="preserve"> </w:t>
      </w:r>
      <w:r w:rsidR="00E3117F" w:rsidRPr="00E12CA0">
        <w:rPr>
          <w:highlight w:val="yellow"/>
          <w:u w:val="double"/>
          <w:lang w:val="en-IE"/>
        </w:rPr>
        <w:t>or antibody assays</w:t>
      </w:r>
      <w:r w:rsidRPr="00882D2B">
        <w:rPr>
          <w:lang w:val="en-IE"/>
        </w:rPr>
        <w:t>.</w:t>
      </w:r>
      <w:r w:rsidR="00140119" w:rsidRPr="00882D2B">
        <w:rPr>
          <w:lang w:val="en-IE"/>
        </w:rPr>
        <w:t xml:space="preserve"> </w:t>
      </w:r>
      <w:r w:rsidRPr="00882D2B">
        <w:rPr>
          <w:lang w:val="en-IE"/>
        </w:rPr>
        <w:t>In some animal species such as non-human primates and small companion animals, radiological examination</w:t>
      </w:r>
      <w:r w:rsidR="009E4C0A">
        <w:rPr>
          <w:lang w:val="en-IE"/>
        </w:rPr>
        <w:t xml:space="preserve"> </w:t>
      </w:r>
      <w:r w:rsidR="009E4C0A" w:rsidRPr="00E12CA0">
        <w:rPr>
          <w:highlight w:val="yellow"/>
          <w:u w:val="double"/>
          <w:lang w:val="en-IE"/>
        </w:rPr>
        <w:t>and echography</w:t>
      </w:r>
      <w:r w:rsidRPr="00882D2B">
        <w:rPr>
          <w:lang w:val="en-IE"/>
        </w:rPr>
        <w:t xml:space="preserve"> may be used to supplement other tests.</w:t>
      </w:r>
      <w:r w:rsidR="00140119" w:rsidRPr="00882D2B">
        <w:rPr>
          <w:lang w:val="en-IE"/>
        </w:rPr>
        <w:t xml:space="preserve"> </w:t>
      </w:r>
      <w:r w:rsidRPr="00882D2B">
        <w:rPr>
          <w:lang w:val="en-IE"/>
        </w:rPr>
        <w:t>Given the chronic nature of infection and absence of definitive clinical signs, evidence of tuberculosis in animals is often only identified post-mortem during slaughter surveillance or at necropsy by identification of characteristic lesions</w:t>
      </w:r>
      <w:r w:rsidR="003E049C" w:rsidRPr="00882D2B">
        <w:rPr>
          <w:lang w:val="en-IE"/>
        </w:rPr>
        <w:t>.</w:t>
      </w:r>
      <w:r w:rsidR="00140119" w:rsidRPr="00882D2B">
        <w:rPr>
          <w:lang w:val="en-IE"/>
        </w:rPr>
        <w:t xml:space="preserve"> </w:t>
      </w:r>
      <w:r w:rsidR="003E049C" w:rsidRPr="00882D2B">
        <w:rPr>
          <w:lang w:val="en-IE"/>
        </w:rPr>
        <w:t xml:space="preserve">Since a substantial fraction of animals that are classified as reactors by the tuberculin skin test may not show visible </w:t>
      </w:r>
      <w:r w:rsidR="003E049C" w:rsidRPr="00882D2B">
        <w:rPr>
          <w:lang w:val="en-IE"/>
        </w:rPr>
        <w:lastRenderedPageBreak/>
        <w:t>lesions at necropsy,</w:t>
      </w:r>
      <w:r w:rsidR="003E049C" w:rsidRPr="00882D2B">
        <w:rPr>
          <w:rFonts w:eastAsiaTheme="minorHAnsi"/>
          <w:lang w:val="en-IE"/>
        </w:rPr>
        <w:t xml:space="preserve"> </w:t>
      </w:r>
      <w:r w:rsidR="003E049C" w:rsidRPr="00882D2B">
        <w:rPr>
          <w:lang w:val="en-IE"/>
        </w:rPr>
        <w:t>bronchial, mediastinal and other lymph nodes are routinely sampled during slaughter surveillance</w:t>
      </w:r>
      <w:r w:rsidR="007E431B">
        <w:rPr>
          <w:lang w:val="en-IE"/>
        </w:rPr>
        <w:t>,</w:t>
      </w:r>
      <w:r w:rsidR="003E049C" w:rsidRPr="00882D2B">
        <w:rPr>
          <w:lang w:val="en-IE"/>
        </w:rPr>
        <w:t xml:space="preserve"> for the </w:t>
      </w:r>
      <w:r w:rsidR="001B2E5C">
        <w:rPr>
          <w:lang w:val="en-IE"/>
        </w:rPr>
        <w:t>confirmatory</w:t>
      </w:r>
      <w:r w:rsidR="00A551D6">
        <w:rPr>
          <w:lang w:val="en-IE"/>
        </w:rPr>
        <w:t xml:space="preserve"> </w:t>
      </w:r>
      <w:r w:rsidR="007E431B">
        <w:rPr>
          <w:lang w:val="en-IE"/>
        </w:rPr>
        <w:t>detection</w:t>
      </w:r>
      <w:r w:rsidR="00BA069B">
        <w:rPr>
          <w:lang w:val="en-IE"/>
        </w:rPr>
        <w:t xml:space="preserve"> of infection</w:t>
      </w:r>
      <w:r w:rsidRPr="00882D2B">
        <w:rPr>
          <w:lang w:val="en-IE"/>
        </w:rPr>
        <w:t>.</w:t>
      </w:r>
      <w:r w:rsidR="00140119" w:rsidRPr="00882D2B">
        <w:rPr>
          <w:lang w:val="en-IE"/>
        </w:rPr>
        <w:t xml:space="preserve"> </w:t>
      </w:r>
    </w:p>
    <w:p w14:paraId="4B488CB9" w14:textId="1C5FC3BF" w:rsidR="007C1D3E" w:rsidRPr="00882D2B" w:rsidRDefault="007C1D3E" w:rsidP="004A5EB4">
      <w:pPr>
        <w:pStyle w:val="1Para"/>
        <w:rPr>
          <w:lang w:val="en-IE"/>
        </w:rPr>
      </w:pPr>
      <w:r w:rsidRPr="00882D2B">
        <w:rPr>
          <w:lang w:val="en-IE"/>
        </w:rPr>
        <w:t xml:space="preserve">Direct microbiological detection of tuberculosis is most often performed by culture of tissue samples, exudates and other suspect fluids or secretions, </w:t>
      </w:r>
      <w:r w:rsidR="005B3CC5" w:rsidRPr="00882D2B">
        <w:rPr>
          <w:lang w:val="en-IE"/>
        </w:rPr>
        <w:t>or</w:t>
      </w:r>
      <w:r w:rsidRPr="00882D2B">
        <w:rPr>
          <w:lang w:val="en-IE"/>
        </w:rPr>
        <w:t xml:space="preserve"> trunk washes in elephants.</w:t>
      </w:r>
      <w:r w:rsidR="00140119" w:rsidRPr="00882D2B">
        <w:rPr>
          <w:lang w:val="en-IE"/>
        </w:rPr>
        <w:t xml:space="preserve"> </w:t>
      </w:r>
      <w:r w:rsidRPr="00882D2B">
        <w:rPr>
          <w:lang w:val="en-IE"/>
        </w:rPr>
        <w:t xml:space="preserve">Presumptive diagnoses </w:t>
      </w:r>
      <w:r w:rsidR="001A079F">
        <w:rPr>
          <w:lang w:val="en-IE"/>
        </w:rPr>
        <w:t>may be</w:t>
      </w:r>
      <w:r w:rsidRPr="00882D2B">
        <w:rPr>
          <w:lang w:val="en-IE"/>
        </w:rPr>
        <w:t xml:space="preserve"> made by microscopic </w:t>
      </w:r>
      <w:r w:rsidR="00C321EF" w:rsidRPr="00882D2B">
        <w:rPr>
          <w:lang w:val="en-IE"/>
        </w:rPr>
        <w:t xml:space="preserve">identification </w:t>
      </w:r>
      <w:r w:rsidRPr="00882D2B">
        <w:rPr>
          <w:lang w:val="en-IE"/>
        </w:rPr>
        <w:t>of characteristic acid-fast bacilli in secretions or tissue samples</w:t>
      </w:r>
      <w:r w:rsidR="00C321EF" w:rsidRPr="00882D2B">
        <w:rPr>
          <w:lang w:val="en-IE"/>
        </w:rPr>
        <w:t xml:space="preserve"> or histopathological staining of multinucleated giant cells with </w:t>
      </w:r>
      <w:r w:rsidR="001F56AF" w:rsidRPr="00882D2B">
        <w:rPr>
          <w:lang w:val="en-IE"/>
        </w:rPr>
        <w:t xml:space="preserve">central caseating </w:t>
      </w:r>
      <w:r w:rsidR="001F56AF" w:rsidRPr="000618FA">
        <w:t>necrosis</w:t>
      </w:r>
      <w:r w:rsidR="006B073F" w:rsidRPr="00E12CA0">
        <w:rPr>
          <w:highlight w:val="yellow"/>
          <w:u w:val="double"/>
        </w:rPr>
        <w:t xml:space="preserve">; </w:t>
      </w:r>
      <w:r w:rsidR="000618FA" w:rsidRPr="00E12CA0">
        <w:rPr>
          <w:highlight w:val="yellow"/>
          <w:u w:val="double"/>
        </w:rPr>
        <w:t>h</w:t>
      </w:r>
      <w:r w:rsidR="006B073F" w:rsidRPr="00E12CA0">
        <w:rPr>
          <w:highlight w:val="yellow"/>
          <w:u w:val="double"/>
        </w:rPr>
        <w:t xml:space="preserve">owever, </w:t>
      </w:r>
      <w:bookmarkStart w:id="5" w:name="_Hlk95750923"/>
      <w:r w:rsidR="006B073F" w:rsidRPr="00E12CA0">
        <w:rPr>
          <w:highlight w:val="yellow"/>
          <w:u w:val="double"/>
        </w:rPr>
        <w:t>the microscopic test can often give negative results, even in sick animals, due to the limited presence of mycobacteria</w:t>
      </w:r>
      <w:bookmarkEnd w:id="5"/>
      <w:r w:rsidRPr="000618FA">
        <w:t>.</w:t>
      </w:r>
      <w:r w:rsidR="00140119" w:rsidRPr="000618FA">
        <w:t xml:space="preserve"> </w:t>
      </w:r>
      <w:r w:rsidRPr="000618FA">
        <w:t>Mycobacterial culture is performed by growth</w:t>
      </w:r>
      <w:r w:rsidRPr="00882D2B">
        <w:rPr>
          <w:lang w:val="en-IE"/>
        </w:rPr>
        <w:t xml:space="preserve"> on selective solid or liquid media, followed by confirmatory assays that include identification of mycobacterial specific nucleic acid or other microbial biomarkers.</w:t>
      </w:r>
      <w:r w:rsidR="00140119" w:rsidRPr="00882D2B">
        <w:rPr>
          <w:lang w:val="en-IE"/>
        </w:rPr>
        <w:t xml:space="preserve"> </w:t>
      </w:r>
      <w:r w:rsidR="004D7430">
        <w:rPr>
          <w:lang w:val="en-IE"/>
        </w:rPr>
        <w:t>D</w:t>
      </w:r>
      <w:r w:rsidR="00CC5BE0" w:rsidRPr="00882D2B">
        <w:rPr>
          <w:lang w:val="en-IE"/>
        </w:rPr>
        <w:t xml:space="preserve">irect detection approaches such </w:t>
      </w:r>
      <w:r w:rsidRPr="00882D2B">
        <w:rPr>
          <w:lang w:val="en-IE"/>
        </w:rPr>
        <w:t xml:space="preserve">as culture are the definitive techniques for diagnosis of tuberculosis in animals, </w:t>
      </w:r>
      <w:r w:rsidR="00816F0E">
        <w:rPr>
          <w:lang w:val="en-IE"/>
        </w:rPr>
        <w:t>but</w:t>
      </w:r>
      <w:r w:rsidRPr="00882D2B">
        <w:rPr>
          <w:lang w:val="en-IE"/>
        </w:rPr>
        <w:t xml:space="preserve"> are time</w:t>
      </w:r>
      <w:r w:rsidR="00D956D5">
        <w:rPr>
          <w:lang w:val="en-IE"/>
        </w:rPr>
        <w:t>-</w:t>
      </w:r>
      <w:r w:rsidRPr="00882D2B">
        <w:rPr>
          <w:lang w:val="en-IE"/>
        </w:rPr>
        <w:t>consuming and difficult to perform</w:t>
      </w:r>
      <w:r w:rsidR="00D956D5">
        <w:rPr>
          <w:lang w:val="en-IE"/>
        </w:rPr>
        <w:t>.</w:t>
      </w:r>
      <w:r w:rsidRPr="00882D2B">
        <w:rPr>
          <w:lang w:val="en-IE"/>
        </w:rPr>
        <w:t xml:space="preserve"> </w:t>
      </w:r>
      <w:r w:rsidR="00D956D5">
        <w:rPr>
          <w:lang w:val="en-IE"/>
        </w:rPr>
        <w:t>F</w:t>
      </w:r>
      <w:r w:rsidR="00CC5BE0">
        <w:rPr>
          <w:lang w:val="en-IE"/>
        </w:rPr>
        <w:t xml:space="preserve">or this reason </w:t>
      </w:r>
      <w:r w:rsidR="00630A43">
        <w:rPr>
          <w:lang w:val="en-IE"/>
        </w:rPr>
        <w:t>rapid</w:t>
      </w:r>
      <w:r w:rsidR="00CC5BE0">
        <w:rPr>
          <w:lang w:val="en-IE"/>
        </w:rPr>
        <w:t xml:space="preserve"> methods </w:t>
      </w:r>
      <w:r w:rsidR="00134FD7">
        <w:rPr>
          <w:lang w:val="en-IE"/>
        </w:rPr>
        <w:t xml:space="preserve">such as polymerase chain reaction </w:t>
      </w:r>
      <w:r w:rsidR="000437C8">
        <w:rPr>
          <w:lang w:val="en-IE"/>
        </w:rPr>
        <w:t xml:space="preserve">(PCR) </w:t>
      </w:r>
      <w:r w:rsidR="0052568F">
        <w:rPr>
          <w:lang w:val="en-IE"/>
        </w:rPr>
        <w:t>are increasingly used</w:t>
      </w:r>
      <w:r w:rsidR="007518DD">
        <w:rPr>
          <w:lang w:val="en-IE"/>
        </w:rPr>
        <w:t xml:space="preserve"> for</w:t>
      </w:r>
      <w:r w:rsidR="00CC5BE0">
        <w:rPr>
          <w:lang w:val="en-IE"/>
        </w:rPr>
        <w:t xml:space="preserve"> the direct </w:t>
      </w:r>
      <w:r w:rsidR="007518DD">
        <w:rPr>
          <w:lang w:val="en-IE"/>
        </w:rPr>
        <w:t>detection</w:t>
      </w:r>
      <w:r w:rsidR="00CC5BE0">
        <w:rPr>
          <w:lang w:val="en-IE"/>
        </w:rPr>
        <w:t xml:space="preserve"> of DNA from biological </w:t>
      </w:r>
      <w:r w:rsidR="007518DD">
        <w:rPr>
          <w:lang w:val="en-IE"/>
        </w:rPr>
        <w:t>specimens</w:t>
      </w:r>
      <w:r w:rsidRPr="00882D2B">
        <w:rPr>
          <w:lang w:val="en-IE"/>
        </w:rPr>
        <w:t>.</w:t>
      </w:r>
    </w:p>
    <w:p w14:paraId="2087F329" w14:textId="0FCD79CB" w:rsidR="007C1D3E" w:rsidRPr="00882D2B" w:rsidRDefault="007C1D3E" w:rsidP="004A5EB4">
      <w:pPr>
        <w:pStyle w:val="1Para"/>
        <w:rPr>
          <w:lang w:val="en-IE"/>
        </w:rPr>
      </w:pPr>
      <w:r w:rsidRPr="00882D2B">
        <w:rPr>
          <w:lang w:val="en-IE"/>
        </w:rPr>
        <w:t>Evidence of immune response of animals to MTBC organisms is the most commonly used indirect approach for the identification of presumptively infected animals.</w:t>
      </w:r>
      <w:r w:rsidR="00140119" w:rsidRPr="00882D2B">
        <w:rPr>
          <w:lang w:val="en-IE"/>
        </w:rPr>
        <w:t xml:space="preserve"> </w:t>
      </w:r>
      <w:r w:rsidRPr="00882D2B">
        <w:rPr>
          <w:lang w:val="en-IE"/>
        </w:rPr>
        <w:t xml:space="preserve">The primary screening test in animals, the TST, is an </w:t>
      </w:r>
      <w:r w:rsidRPr="00882D2B">
        <w:rPr>
          <w:i/>
          <w:iCs/>
          <w:lang w:val="en-IE"/>
        </w:rPr>
        <w:t>in vivo</w:t>
      </w:r>
      <w:r w:rsidRPr="00882D2B">
        <w:rPr>
          <w:lang w:val="en-IE"/>
        </w:rPr>
        <w:t xml:space="preserve"> measure of the delayed hypersensitivity response to antigens present in MTBC organisms.</w:t>
      </w:r>
      <w:r w:rsidR="00140119" w:rsidRPr="00882D2B">
        <w:rPr>
          <w:lang w:val="en-IE"/>
        </w:rPr>
        <w:t xml:space="preserve"> </w:t>
      </w:r>
      <w:r w:rsidRPr="00882D2B">
        <w:rPr>
          <w:lang w:val="en-IE"/>
        </w:rPr>
        <w:t>The assay is carried out by the intradermal injection of a purified protein derivative (o</w:t>
      </w:r>
      <w:r w:rsidR="00CC5BE0">
        <w:rPr>
          <w:lang w:val="en-IE"/>
        </w:rPr>
        <w:t>r</w:t>
      </w:r>
      <w:r w:rsidRPr="00882D2B">
        <w:rPr>
          <w:lang w:val="en-IE"/>
        </w:rPr>
        <w:t xml:space="preserve"> tuberculin) derived from a well-defined strain of </w:t>
      </w:r>
      <w:r w:rsidRPr="00882D2B">
        <w:rPr>
          <w:i/>
          <w:iCs/>
          <w:lang w:val="en-IE"/>
        </w:rPr>
        <w:t>M.</w:t>
      </w:r>
      <w:r w:rsidR="009431C4" w:rsidRPr="00882D2B">
        <w:rPr>
          <w:i/>
          <w:iCs/>
          <w:lang w:val="en-IE"/>
        </w:rPr>
        <w:t> </w:t>
      </w:r>
      <w:proofErr w:type="spellStart"/>
      <w:r w:rsidRPr="00882D2B">
        <w:rPr>
          <w:i/>
          <w:iCs/>
          <w:lang w:val="en-IE"/>
        </w:rPr>
        <w:t>bovis</w:t>
      </w:r>
      <w:proofErr w:type="spellEnd"/>
      <w:r w:rsidR="00CC5BE0">
        <w:rPr>
          <w:i/>
          <w:iCs/>
          <w:lang w:val="en-IE"/>
        </w:rPr>
        <w:t xml:space="preserve"> </w:t>
      </w:r>
      <w:r w:rsidR="00CC5BE0">
        <w:rPr>
          <w:lang w:val="en-IE"/>
        </w:rPr>
        <w:t>(</w:t>
      </w:r>
      <w:r w:rsidR="00CC5BE0">
        <w:rPr>
          <w:iCs/>
          <w:lang w:val="en-IE"/>
        </w:rPr>
        <w:t>PPD-B)</w:t>
      </w:r>
      <w:r w:rsidRPr="00882D2B">
        <w:rPr>
          <w:lang w:val="en-IE"/>
        </w:rPr>
        <w:t>, and measurement of the subsequent increase in skin</w:t>
      </w:r>
      <w:r w:rsidR="00E12CA0">
        <w:rPr>
          <w:lang w:val="en-IE"/>
        </w:rPr>
        <w:t>-</w:t>
      </w:r>
      <w:r w:rsidR="007F7442" w:rsidRPr="00E12CA0">
        <w:rPr>
          <w:highlight w:val="yellow"/>
          <w:u w:val="double"/>
          <w:lang w:val="en-IE"/>
        </w:rPr>
        <w:t>fold</w:t>
      </w:r>
      <w:r w:rsidRPr="00882D2B">
        <w:rPr>
          <w:lang w:val="en-IE"/>
        </w:rPr>
        <w:t xml:space="preserve"> thickness at the injection site. The site of test administration depends on species of animal.</w:t>
      </w:r>
      <w:r w:rsidR="00140119" w:rsidRPr="00882D2B">
        <w:rPr>
          <w:lang w:val="en-IE"/>
        </w:rPr>
        <w:t xml:space="preserve"> </w:t>
      </w:r>
      <w:r w:rsidRPr="00882D2B">
        <w:rPr>
          <w:lang w:val="en-IE"/>
        </w:rPr>
        <w:t xml:space="preserve">In regions with high exposure of animals to environmental mycobacteria, the difference in skin </w:t>
      </w:r>
      <w:r w:rsidRPr="00EB77B9">
        <w:rPr>
          <w:lang w:val="en-IE"/>
        </w:rPr>
        <w:t xml:space="preserve">thickness to </w:t>
      </w:r>
      <w:r w:rsidR="00CC5BE0">
        <w:rPr>
          <w:iCs/>
          <w:lang w:val="en-IE"/>
        </w:rPr>
        <w:t xml:space="preserve">PPD-B </w:t>
      </w:r>
      <w:r w:rsidRPr="00882D2B">
        <w:rPr>
          <w:lang w:val="en-IE"/>
        </w:rPr>
        <w:t xml:space="preserve">and purified protein derivative from a </w:t>
      </w:r>
      <w:r w:rsidR="00EB77B9">
        <w:rPr>
          <w:i/>
          <w:iCs/>
          <w:lang w:val="en-IE"/>
        </w:rPr>
        <w:t>M. </w:t>
      </w:r>
      <w:r w:rsidRPr="00882D2B">
        <w:rPr>
          <w:i/>
          <w:iCs/>
          <w:lang w:val="en-IE"/>
        </w:rPr>
        <w:t>avium</w:t>
      </w:r>
      <w:r w:rsidRPr="00882D2B">
        <w:rPr>
          <w:lang w:val="en-IE"/>
        </w:rPr>
        <w:t xml:space="preserve"> strain </w:t>
      </w:r>
      <w:r w:rsidR="00CC5BE0">
        <w:rPr>
          <w:lang w:val="en-IE"/>
        </w:rPr>
        <w:t>(</w:t>
      </w:r>
      <w:r w:rsidR="00CC5BE0">
        <w:rPr>
          <w:iCs/>
          <w:lang w:val="en-IE"/>
        </w:rPr>
        <w:t xml:space="preserve">PPD-A) </w:t>
      </w:r>
      <w:r w:rsidRPr="00882D2B">
        <w:rPr>
          <w:lang w:val="en-IE"/>
        </w:rPr>
        <w:t>is used to improve specificity, but often at the cost of sensitivity.</w:t>
      </w:r>
      <w:r w:rsidR="00140119" w:rsidRPr="00882D2B">
        <w:rPr>
          <w:lang w:val="en-IE"/>
        </w:rPr>
        <w:t xml:space="preserve"> </w:t>
      </w:r>
      <w:r w:rsidRPr="00882D2B">
        <w:rPr>
          <w:lang w:val="en-IE"/>
        </w:rPr>
        <w:t>Given the historical use and success in enabling test and remove based control program</w:t>
      </w:r>
      <w:r w:rsidR="002B3AFB" w:rsidRPr="00882D2B">
        <w:rPr>
          <w:lang w:val="en-IE"/>
        </w:rPr>
        <w:t>me</w:t>
      </w:r>
      <w:r w:rsidRPr="00882D2B">
        <w:rPr>
          <w:lang w:val="en-IE"/>
        </w:rPr>
        <w:t xml:space="preserve">s, the TST is the </w:t>
      </w:r>
      <w:r w:rsidR="00406196" w:rsidRPr="00882D2B">
        <w:rPr>
          <w:lang w:val="en-IE"/>
        </w:rPr>
        <w:t>preferred</w:t>
      </w:r>
      <w:r w:rsidRPr="00882D2B">
        <w:rPr>
          <w:lang w:val="en-IE"/>
        </w:rPr>
        <w:t xml:space="preserve"> test for diagnosis of tuberculosis and </w:t>
      </w:r>
      <w:r w:rsidR="00A051F5" w:rsidRPr="00882D2B">
        <w:rPr>
          <w:lang w:val="en-IE"/>
        </w:rPr>
        <w:t xml:space="preserve">for screening </w:t>
      </w:r>
      <w:r w:rsidR="002B3AFB" w:rsidRPr="00882D2B">
        <w:rPr>
          <w:lang w:val="en-IE"/>
        </w:rPr>
        <w:t>pre-</w:t>
      </w:r>
      <w:r w:rsidRPr="00882D2B">
        <w:rPr>
          <w:lang w:val="en-IE"/>
        </w:rPr>
        <w:t>trade</w:t>
      </w:r>
      <w:r w:rsidR="00855716">
        <w:rPr>
          <w:lang w:val="en-IE"/>
        </w:rPr>
        <w:t>.</w:t>
      </w:r>
    </w:p>
    <w:p w14:paraId="742825AC" w14:textId="2654BF0C" w:rsidR="007C1D3E" w:rsidRPr="00882D2B" w:rsidRDefault="00860A3E" w:rsidP="004A5EB4">
      <w:pPr>
        <w:pStyle w:val="1Para"/>
        <w:rPr>
          <w:lang w:val="en-IE"/>
        </w:rPr>
      </w:pPr>
      <w:r w:rsidRPr="00882D2B">
        <w:rPr>
          <w:lang w:val="en-IE"/>
        </w:rPr>
        <w:t xml:space="preserve">The </w:t>
      </w:r>
      <w:r w:rsidRPr="00882D2B">
        <w:rPr>
          <w:i/>
          <w:iCs/>
          <w:lang w:val="en-IE"/>
        </w:rPr>
        <w:t>in vitro</w:t>
      </w:r>
      <w:r w:rsidR="007C1D3E" w:rsidRPr="00882D2B">
        <w:rPr>
          <w:lang w:val="en-IE"/>
        </w:rPr>
        <w:t xml:space="preserve"> </w:t>
      </w:r>
      <w:r w:rsidR="00E96642">
        <w:rPr>
          <w:lang w:val="en-IE"/>
        </w:rPr>
        <w:t>IGRA</w:t>
      </w:r>
      <w:r w:rsidR="009F711B" w:rsidRPr="00882D2B">
        <w:rPr>
          <w:lang w:val="en-IE"/>
        </w:rPr>
        <w:t xml:space="preserve"> </w:t>
      </w:r>
      <w:r w:rsidR="003C3861" w:rsidRPr="00882D2B">
        <w:rPr>
          <w:lang w:val="en-IE"/>
        </w:rPr>
        <w:t xml:space="preserve">provides an </w:t>
      </w:r>
      <w:r w:rsidR="007C1D3E" w:rsidRPr="00882D2B">
        <w:rPr>
          <w:lang w:val="en-IE"/>
        </w:rPr>
        <w:t>alternative measure of the cellular immune response to infection. Th</w:t>
      </w:r>
      <w:r w:rsidR="00A033A6" w:rsidRPr="00882D2B">
        <w:rPr>
          <w:lang w:val="en-IE"/>
        </w:rPr>
        <w:t>i</w:t>
      </w:r>
      <w:r w:rsidR="007C1D3E" w:rsidRPr="00882D2B">
        <w:rPr>
          <w:lang w:val="en-IE"/>
        </w:rPr>
        <w:t>s assay measure</w:t>
      </w:r>
      <w:r w:rsidR="00A033A6" w:rsidRPr="00882D2B">
        <w:rPr>
          <w:lang w:val="en-IE"/>
        </w:rPr>
        <w:t>s</w:t>
      </w:r>
      <w:r w:rsidR="007C1D3E" w:rsidRPr="00882D2B">
        <w:rPr>
          <w:lang w:val="en-IE"/>
        </w:rPr>
        <w:t xml:space="preserve"> the release of gamma interferon from blood cells stimulated with antigens derived from MTBC organisms.</w:t>
      </w:r>
      <w:r w:rsidR="00140119" w:rsidRPr="00882D2B">
        <w:rPr>
          <w:lang w:val="en-IE"/>
        </w:rPr>
        <w:t xml:space="preserve"> </w:t>
      </w:r>
      <w:r w:rsidR="007C1D3E" w:rsidRPr="00882D2B">
        <w:rPr>
          <w:lang w:val="en-IE"/>
        </w:rPr>
        <w:t>Th</w:t>
      </w:r>
      <w:r w:rsidR="006560D4" w:rsidRPr="00882D2B">
        <w:rPr>
          <w:lang w:val="en-IE"/>
        </w:rPr>
        <w:t>i</w:t>
      </w:r>
      <w:r w:rsidR="007C1D3E" w:rsidRPr="00882D2B">
        <w:rPr>
          <w:lang w:val="en-IE"/>
        </w:rPr>
        <w:t xml:space="preserve">s assay </w:t>
      </w:r>
      <w:r w:rsidR="006560D4" w:rsidRPr="00882D2B">
        <w:rPr>
          <w:lang w:val="en-IE"/>
        </w:rPr>
        <w:t>is</w:t>
      </w:r>
      <w:r w:rsidR="007C1D3E" w:rsidRPr="00882D2B">
        <w:rPr>
          <w:lang w:val="en-IE"/>
        </w:rPr>
        <w:t xml:space="preserve"> often used as </w:t>
      </w:r>
      <w:r w:rsidR="006560D4" w:rsidRPr="00882D2B">
        <w:rPr>
          <w:lang w:val="en-IE"/>
        </w:rPr>
        <w:t xml:space="preserve">an </w:t>
      </w:r>
      <w:r w:rsidR="007C1D3E" w:rsidRPr="00882D2B">
        <w:rPr>
          <w:lang w:val="en-IE"/>
        </w:rPr>
        <w:t xml:space="preserve">ancillary test to remove additional positive animals and may be more convenient than the skin test since </w:t>
      </w:r>
      <w:r w:rsidR="001B256E" w:rsidRPr="00882D2B">
        <w:rPr>
          <w:lang w:val="en-IE"/>
        </w:rPr>
        <w:t>it</w:t>
      </w:r>
      <w:r w:rsidR="007C1D3E" w:rsidRPr="00882D2B">
        <w:rPr>
          <w:lang w:val="en-IE"/>
        </w:rPr>
        <w:t xml:space="preserve"> do</w:t>
      </w:r>
      <w:r w:rsidR="001B256E" w:rsidRPr="00882D2B">
        <w:rPr>
          <w:lang w:val="en-IE"/>
        </w:rPr>
        <w:t>es</w:t>
      </w:r>
      <w:r w:rsidR="007C1D3E" w:rsidRPr="00882D2B">
        <w:rPr>
          <w:lang w:val="en-IE"/>
        </w:rPr>
        <w:t xml:space="preserve"> not require repeated handling of the animal or extended intervals prior to retesting.</w:t>
      </w:r>
      <w:r w:rsidR="00140119" w:rsidRPr="00882D2B">
        <w:rPr>
          <w:lang w:val="en-IE"/>
        </w:rPr>
        <w:t xml:space="preserve"> </w:t>
      </w:r>
      <w:r w:rsidR="007C1D3E" w:rsidRPr="00882D2B">
        <w:rPr>
          <w:lang w:val="en-IE"/>
        </w:rPr>
        <w:t>However, since</w:t>
      </w:r>
      <w:r w:rsidR="00E96642">
        <w:rPr>
          <w:lang w:val="en-IE"/>
        </w:rPr>
        <w:t xml:space="preserve"> the</w:t>
      </w:r>
      <w:r w:rsidR="007C1D3E" w:rsidRPr="00882D2B">
        <w:rPr>
          <w:lang w:val="en-IE"/>
        </w:rPr>
        <w:t xml:space="preserve"> </w:t>
      </w:r>
      <w:r w:rsidR="00E96642">
        <w:rPr>
          <w:lang w:val="en-IE"/>
        </w:rPr>
        <w:t>IGRA</w:t>
      </w:r>
      <w:r w:rsidR="007C1D3E" w:rsidRPr="00882D2B">
        <w:rPr>
          <w:lang w:val="en-IE"/>
        </w:rPr>
        <w:t xml:space="preserve"> require</w:t>
      </w:r>
      <w:r w:rsidR="00BA03A7" w:rsidRPr="00882D2B">
        <w:rPr>
          <w:lang w:val="en-IE"/>
        </w:rPr>
        <w:t>s</w:t>
      </w:r>
      <w:r w:rsidR="007C1D3E" w:rsidRPr="00882D2B">
        <w:rPr>
          <w:lang w:val="en-IE"/>
        </w:rPr>
        <w:t xml:space="preserve"> time-bound stimulation of </w:t>
      </w:r>
      <w:r w:rsidR="000B520C" w:rsidRPr="00882D2B">
        <w:rPr>
          <w:lang w:val="en-IE"/>
        </w:rPr>
        <w:t xml:space="preserve">live </w:t>
      </w:r>
      <w:r w:rsidR="007C1D3E" w:rsidRPr="00882D2B">
        <w:rPr>
          <w:lang w:val="en-IE"/>
        </w:rPr>
        <w:t xml:space="preserve">blood cells, </w:t>
      </w:r>
      <w:r w:rsidR="00BA03A7" w:rsidRPr="00882D2B">
        <w:rPr>
          <w:lang w:val="en-IE"/>
        </w:rPr>
        <w:t>it</w:t>
      </w:r>
      <w:r w:rsidR="007C1D3E" w:rsidRPr="00882D2B">
        <w:rPr>
          <w:lang w:val="en-IE"/>
        </w:rPr>
        <w:t xml:space="preserve"> may </w:t>
      </w:r>
      <w:r w:rsidR="003C42BC" w:rsidRPr="00882D2B">
        <w:rPr>
          <w:lang w:val="en-IE"/>
        </w:rPr>
        <w:t>prove</w:t>
      </w:r>
      <w:r w:rsidR="007C1D3E" w:rsidRPr="00882D2B">
        <w:rPr>
          <w:lang w:val="en-IE"/>
        </w:rPr>
        <w:t xml:space="preserve"> </w:t>
      </w:r>
      <w:r w:rsidR="00543D7F">
        <w:rPr>
          <w:lang w:val="en-IE"/>
        </w:rPr>
        <w:t xml:space="preserve">costly, </w:t>
      </w:r>
      <w:r w:rsidR="007C1D3E" w:rsidRPr="00882D2B">
        <w:rPr>
          <w:lang w:val="en-IE"/>
        </w:rPr>
        <w:t>cumbersome or difficult to implement, especially in remote or low resource settings.</w:t>
      </w:r>
      <w:r w:rsidR="00140119" w:rsidRPr="00882D2B">
        <w:rPr>
          <w:lang w:val="en-IE"/>
        </w:rPr>
        <w:t xml:space="preserve"> </w:t>
      </w:r>
    </w:p>
    <w:p w14:paraId="282CF2A7" w14:textId="7E5EFA7C" w:rsidR="007C1D3E" w:rsidRPr="00882D2B" w:rsidRDefault="007C1D3E" w:rsidP="004A5EB4">
      <w:pPr>
        <w:pStyle w:val="1Para"/>
        <w:rPr>
          <w:lang w:val="en-IE"/>
        </w:rPr>
      </w:pPr>
      <w:r w:rsidRPr="00882D2B">
        <w:rPr>
          <w:lang w:val="en-IE"/>
        </w:rPr>
        <w:t>Since specific antibodies to MTBC infection are thought to develop late</w:t>
      </w:r>
      <w:r w:rsidR="00CC184D">
        <w:rPr>
          <w:lang w:val="en-IE"/>
        </w:rPr>
        <w:t>r</w:t>
      </w:r>
      <w:r w:rsidRPr="00882D2B">
        <w:rPr>
          <w:lang w:val="en-IE"/>
        </w:rPr>
        <w:t xml:space="preserve"> during infection, serological or antibody tests are considered less sensitive than the cell mediated immune response assays.</w:t>
      </w:r>
      <w:r w:rsidR="00140119" w:rsidRPr="00882D2B">
        <w:rPr>
          <w:lang w:val="en-IE"/>
        </w:rPr>
        <w:t xml:space="preserve"> </w:t>
      </w:r>
      <w:r w:rsidRPr="00882D2B">
        <w:rPr>
          <w:lang w:val="en-IE"/>
        </w:rPr>
        <w:t xml:space="preserve">The most frequently used serological assays include enzyme linked </w:t>
      </w:r>
      <w:r w:rsidR="00A11A49">
        <w:rPr>
          <w:lang w:val="en-IE"/>
        </w:rPr>
        <w:t xml:space="preserve">immunosorbent </w:t>
      </w:r>
      <w:r w:rsidRPr="00882D2B">
        <w:rPr>
          <w:lang w:val="en-IE"/>
        </w:rPr>
        <w:t>assays (ELISA) or lateral flow assays that measure antibodies to specific MTBC antigens.</w:t>
      </w:r>
      <w:r w:rsidR="00140119" w:rsidRPr="00882D2B">
        <w:rPr>
          <w:lang w:val="en-IE"/>
        </w:rPr>
        <w:t xml:space="preserve"> </w:t>
      </w:r>
      <w:r w:rsidRPr="00882D2B">
        <w:rPr>
          <w:lang w:val="en-IE"/>
        </w:rPr>
        <w:t>Antibody assays may be particularly useful in detection of evidence of immune response to tuberculosis in wildlife species.</w:t>
      </w:r>
      <w:r w:rsidR="00140119" w:rsidRPr="00882D2B">
        <w:rPr>
          <w:lang w:val="en-IE"/>
        </w:rPr>
        <w:t xml:space="preserve"> </w:t>
      </w:r>
      <w:r w:rsidRPr="00882D2B">
        <w:rPr>
          <w:lang w:val="en-IE"/>
        </w:rPr>
        <w:t>In livestock as well as certain cervid and camelid species, the prior administration of the skin test antigen</w:t>
      </w:r>
      <w:r w:rsidR="003B4AD7">
        <w:rPr>
          <w:lang w:val="en-IE"/>
        </w:rPr>
        <w:t xml:space="preserve"> within a specified time period</w:t>
      </w:r>
      <w:r w:rsidRPr="00882D2B">
        <w:rPr>
          <w:lang w:val="en-IE"/>
        </w:rPr>
        <w:t xml:space="preserve"> is needed to ensure assay sensitivity.</w:t>
      </w:r>
    </w:p>
    <w:p w14:paraId="42BB4FD7" w14:textId="1CBC5D83" w:rsidR="007C1D3E" w:rsidRPr="00882D2B" w:rsidRDefault="007C1D3E" w:rsidP="009431C4">
      <w:pPr>
        <w:pStyle w:val="1Para"/>
        <w:spacing w:after="480"/>
        <w:rPr>
          <w:lang w:val="en-IE"/>
        </w:rPr>
      </w:pPr>
      <w:r w:rsidRPr="00882D2B">
        <w:rPr>
          <w:lang w:val="en-IE"/>
        </w:rPr>
        <w:t xml:space="preserve">Vaccines such as </w:t>
      </w:r>
      <w:proofErr w:type="spellStart"/>
      <w:r w:rsidR="00F54387" w:rsidRPr="00882D2B">
        <w:rPr>
          <w:lang w:val="en-IE"/>
        </w:rPr>
        <w:t>bacille</w:t>
      </w:r>
      <w:proofErr w:type="spellEnd"/>
      <w:r w:rsidR="00F54387" w:rsidRPr="00882D2B">
        <w:rPr>
          <w:lang w:val="en-IE"/>
        </w:rPr>
        <w:t xml:space="preserve">-Calmette-Guerin </w:t>
      </w:r>
      <w:r w:rsidR="00540CF6" w:rsidRPr="00882D2B">
        <w:rPr>
          <w:lang w:val="en-IE"/>
        </w:rPr>
        <w:t>(</w:t>
      </w:r>
      <w:r w:rsidRPr="00882D2B">
        <w:rPr>
          <w:lang w:val="en-IE"/>
        </w:rPr>
        <w:t>BCG</w:t>
      </w:r>
      <w:r w:rsidR="00540CF6" w:rsidRPr="00882D2B">
        <w:rPr>
          <w:lang w:val="en-IE"/>
        </w:rPr>
        <w:t>)</w:t>
      </w:r>
      <w:r w:rsidRPr="00882D2B">
        <w:rPr>
          <w:lang w:val="en-IE"/>
        </w:rPr>
        <w:t xml:space="preserve"> have been evaluated for use in </w:t>
      </w:r>
      <w:r w:rsidR="00695910">
        <w:rPr>
          <w:lang w:val="en-IE"/>
        </w:rPr>
        <w:t>livestock</w:t>
      </w:r>
      <w:r w:rsidR="00695910" w:rsidRPr="00882D2B">
        <w:rPr>
          <w:lang w:val="en-IE"/>
        </w:rPr>
        <w:t xml:space="preserve"> </w:t>
      </w:r>
      <w:r w:rsidRPr="00882D2B">
        <w:rPr>
          <w:lang w:val="en-IE"/>
        </w:rPr>
        <w:t>and wildlife species.</w:t>
      </w:r>
      <w:r w:rsidR="00140119" w:rsidRPr="00882D2B">
        <w:rPr>
          <w:lang w:val="en-IE"/>
        </w:rPr>
        <w:t xml:space="preserve"> </w:t>
      </w:r>
      <w:r w:rsidRPr="00882D2B">
        <w:rPr>
          <w:lang w:val="en-IE"/>
        </w:rPr>
        <w:t>In cattle, BCG is reported to have only modest levels of direct efficacy based on meta-analyses of experimental challenge studies and field trials.</w:t>
      </w:r>
      <w:r w:rsidR="00140119" w:rsidRPr="00882D2B">
        <w:rPr>
          <w:lang w:val="en-IE"/>
        </w:rPr>
        <w:t xml:space="preserve"> </w:t>
      </w:r>
      <w:r w:rsidRPr="00882D2B">
        <w:rPr>
          <w:lang w:val="en-IE"/>
        </w:rPr>
        <w:t>However, taken together with potential indirect effects of reduced onward transmission, simulation models suggest that implementation of vaccine program</w:t>
      </w:r>
      <w:r w:rsidR="00EB74D2" w:rsidRPr="00882D2B">
        <w:rPr>
          <w:lang w:val="en-IE"/>
        </w:rPr>
        <w:t>me</w:t>
      </w:r>
      <w:r w:rsidRPr="00882D2B">
        <w:rPr>
          <w:lang w:val="en-IE"/>
        </w:rPr>
        <w:t xml:space="preserve">s in endemic regions where test and cull are not feasible, may considerably accelerate </w:t>
      </w:r>
      <w:r w:rsidR="004111D3" w:rsidRPr="00882D2B">
        <w:rPr>
          <w:lang w:val="en-IE"/>
        </w:rPr>
        <w:t xml:space="preserve">TB control </w:t>
      </w:r>
      <w:r w:rsidRPr="00882D2B">
        <w:rPr>
          <w:lang w:val="en-IE"/>
        </w:rPr>
        <w:t>efforts.</w:t>
      </w:r>
      <w:r w:rsidR="00140119" w:rsidRPr="00882D2B">
        <w:rPr>
          <w:lang w:val="en-IE"/>
        </w:rPr>
        <w:t xml:space="preserve"> </w:t>
      </w:r>
    </w:p>
    <w:p w14:paraId="5AB9D0DD" w14:textId="4A563BA6" w:rsidR="0015316B" w:rsidRPr="00882D2B" w:rsidRDefault="0015316B" w:rsidP="0099230B">
      <w:pPr>
        <w:pStyle w:val="A0"/>
        <w:rPr>
          <w:lang w:val="en-IE"/>
        </w:rPr>
      </w:pPr>
      <w:r w:rsidRPr="00882D2B">
        <w:rPr>
          <w:lang w:val="en-IE"/>
        </w:rPr>
        <w:t>B.</w:t>
      </w:r>
      <w:r w:rsidR="00140119" w:rsidRPr="00882D2B">
        <w:rPr>
          <w:lang w:val="en-IE"/>
        </w:rPr>
        <w:t xml:space="preserve">  </w:t>
      </w:r>
      <w:r w:rsidRPr="00882D2B">
        <w:rPr>
          <w:lang w:val="en-IE"/>
        </w:rPr>
        <w:t>DIAGNOSTIC TECHNIQUES</w:t>
      </w:r>
    </w:p>
    <w:p w14:paraId="48640E2F" w14:textId="77777777" w:rsidR="00183DAE" w:rsidRPr="00882D2B" w:rsidRDefault="00183DAE" w:rsidP="00183DAE">
      <w:pPr>
        <w:pStyle w:val="para1"/>
        <w:rPr>
          <w:lang w:val="en-IE"/>
        </w:rPr>
      </w:pPr>
      <w:r w:rsidRPr="00882D2B">
        <w:rPr>
          <w:lang w:val="en-IE"/>
        </w:rPr>
        <w:t>M</w:t>
      </w:r>
      <w:r>
        <w:rPr>
          <w:lang w:val="en-IE"/>
        </w:rPr>
        <w:t>ost m</w:t>
      </w:r>
      <w:r w:rsidRPr="00882D2B">
        <w:rPr>
          <w:lang w:val="en-IE"/>
        </w:rPr>
        <w:t xml:space="preserve">embers of the MTBC are zoonotic organisms. Animal specimens and bacterial cultures that may contain live mycobacteria should be handled at an appropriate biosafety and containment level determined by biological risk analysis (see Chapter 1.1.4 </w:t>
      </w:r>
      <w:r w:rsidRPr="00882D2B">
        <w:rPr>
          <w:i/>
          <w:lang w:val="en-IE"/>
        </w:rPr>
        <w:t>Biosafety and biosecurity:</w:t>
      </w:r>
      <w:r w:rsidRPr="00882D2B">
        <w:rPr>
          <w:lang w:val="en-IE"/>
        </w:rPr>
        <w:t xml:space="preserve"> </w:t>
      </w:r>
      <w:r w:rsidRPr="00882D2B">
        <w:rPr>
          <w:i/>
          <w:lang w:val="en-IE"/>
        </w:rPr>
        <w:t>Standard for managing biological risk in the veterinary laboratory and animal facilities</w:t>
      </w:r>
      <w:r w:rsidRPr="00882D2B">
        <w:rPr>
          <w:lang w:val="en-IE"/>
        </w:rPr>
        <w:t>). This should include use of biological safety cabinets where appropriate.</w:t>
      </w:r>
    </w:p>
    <w:p w14:paraId="245EF533" w14:textId="1F45865C" w:rsidR="001565D6" w:rsidRPr="00882D2B" w:rsidRDefault="001565D6" w:rsidP="005547AE">
      <w:pPr>
        <w:pStyle w:val="para1"/>
        <w:rPr>
          <w:lang w:val="en-IE"/>
        </w:rPr>
      </w:pPr>
      <w:r w:rsidRPr="00882D2B">
        <w:rPr>
          <w:lang w:val="en-IE"/>
        </w:rPr>
        <w:t xml:space="preserve">In cattle, clinical evidence of tuberculosis is usually lacking until very extensive lesions have developed. For this reason, its diagnosis in individual animals and </w:t>
      </w:r>
      <w:r w:rsidR="00FE1123" w:rsidRPr="00882D2B">
        <w:rPr>
          <w:lang w:val="en-IE"/>
        </w:rPr>
        <w:t xml:space="preserve">establishment of surveillance </w:t>
      </w:r>
      <w:r w:rsidRPr="00882D2B">
        <w:rPr>
          <w:lang w:val="en-IE"/>
        </w:rPr>
        <w:t>an</w:t>
      </w:r>
      <w:r w:rsidR="00FE1123" w:rsidRPr="00882D2B">
        <w:rPr>
          <w:lang w:val="en-IE"/>
        </w:rPr>
        <w:t>d</w:t>
      </w:r>
      <w:r w:rsidRPr="00882D2B">
        <w:rPr>
          <w:lang w:val="en-IE"/>
        </w:rPr>
        <w:t xml:space="preserve"> eradication programme</w:t>
      </w:r>
      <w:r w:rsidR="00FE1123" w:rsidRPr="00882D2B">
        <w:rPr>
          <w:lang w:val="en-IE"/>
        </w:rPr>
        <w:t>s</w:t>
      </w:r>
      <w:r w:rsidRPr="00882D2B">
        <w:rPr>
          <w:lang w:val="en-IE"/>
        </w:rPr>
        <w:t xml:space="preserve"> were not possible prior to the development of tuberculin by Koch in 1890.</w:t>
      </w:r>
      <w:r w:rsidR="00140119" w:rsidRPr="00882D2B">
        <w:rPr>
          <w:lang w:val="en-IE"/>
        </w:rPr>
        <w:t xml:space="preserve"> </w:t>
      </w:r>
      <w:r w:rsidR="00555006" w:rsidRPr="00882D2B">
        <w:rPr>
          <w:lang w:val="en-IE"/>
        </w:rPr>
        <w:t>Intradermal inoculation of t</w:t>
      </w:r>
      <w:r w:rsidRPr="00882D2B">
        <w:rPr>
          <w:lang w:val="en-IE"/>
        </w:rPr>
        <w:t>uberculin, a concentrated sterile culture filtrate of tubercle bacilli</w:t>
      </w:r>
      <w:r w:rsidR="00FE1123" w:rsidRPr="00882D2B">
        <w:rPr>
          <w:lang w:val="en-IE"/>
        </w:rPr>
        <w:t>,</w:t>
      </w:r>
      <w:r w:rsidRPr="00882D2B">
        <w:rPr>
          <w:lang w:val="en-IE"/>
        </w:rPr>
        <w:t xml:space="preserve"> provides a</w:t>
      </w:r>
      <w:r w:rsidR="00FE1123" w:rsidRPr="00882D2B">
        <w:rPr>
          <w:lang w:val="en-IE"/>
        </w:rPr>
        <w:t>n indirect</w:t>
      </w:r>
      <w:r w:rsidRPr="00882D2B">
        <w:rPr>
          <w:lang w:val="en-IE"/>
        </w:rPr>
        <w:t xml:space="preserve"> means of detecting </w:t>
      </w:r>
      <w:r w:rsidR="003C3D1A">
        <w:rPr>
          <w:lang w:val="en-IE"/>
        </w:rPr>
        <w:t xml:space="preserve">previous </w:t>
      </w:r>
      <w:r w:rsidR="00FE1123" w:rsidRPr="00882D2B">
        <w:rPr>
          <w:lang w:val="en-IE"/>
        </w:rPr>
        <w:t xml:space="preserve">exposure or </w:t>
      </w:r>
      <w:r w:rsidR="003C3D1A">
        <w:rPr>
          <w:lang w:val="en-IE"/>
        </w:rPr>
        <w:t xml:space="preserve">active </w:t>
      </w:r>
      <w:r w:rsidR="00A92455" w:rsidRPr="00882D2B">
        <w:rPr>
          <w:lang w:val="en-IE"/>
        </w:rPr>
        <w:t>infection</w:t>
      </w:r>
      <w:r w:rsidR="004B2E67" w:rsidRPr="00882D2B">
        <w:rPr>
          <w:lang w:val="en-IE"/>
        </w:rPr>
        <w:t xml:space="preserve"> by measuring the delayed hypersensitivity </w:t>
      </w:r>
      <w:r w:rsidR="00555006" w:rsidRPr="00882D2B">
        <w:rPr>
          <w:lang w:val="en-IE"/>
        </w:rPr>
        <w:t xml:space="preserve">immune </w:t>
      </w:r>
      <w:r w:rsidR="004B2E67" w:rsidRPr="00882D2B">
        <w:rPr>
          <w:lang w:val="en-IE"/>
        </w:rPr>
        <w:t>response</w:t>
      </w:r>
      <w:r w:rsidRPr="00882D2B">
        <w:rPr>
          <w:lang w:val="en-IE"/>
        </w:rPr>
        <w:t>.</w:t>
      </w:r>
      <w:r w:rsidR="00140119" w:rsidRPr="00882D2B">
        <w:rPr>
          <w:lang w:val="en-IE"/>
        </w:rPr>
        <w:t xml:space="preserve"> </w:t>
      </w:r>
      <w:r w:rsidR="002070D7" w:rsidRPr="00882D2B">
        <w:rPr>
          <w:lang w:val="en-IE"/>
        </w:rPr>
        <w:t>In companion animals and in valuable exotic/zoo species, the application of radiography is frequently applied as a presumptive diagnostic.</w:t>
      </w:r>
    </w:p>
    <w:p w14:paraId="3AC5FBE0" w14:textId="1B44DCB1" w:rsidR="001565D6" w:rsidRPr="00882D2B" w:rsidRDefault="001565D6" w:rsidP="001565D6">
      <w:pPr>
        <w:pStyle w:val="para1"/>
        <w:rPr>
          <w:lang w:val="en-IE"/>
        </w:rPr>
      </w:pPr>
      <w:r w:rsidRPr="00882D2B">
        <w:rPr>
          <w:lang w:val="en-IE"/>
        </w:rPr>
        <w:t xml:space="preserve">The presence of </w:t>
      </w:r>
      <w:r w:rsidR="00CC5BE0">
        <w:rPr>
          <w:iCs/>
          <w:lang w:val="en-IE"/>
        </w:rPr>
        <w:t xml:space="preserve">species of the MTBC </w:t>
      </w:r>
      <w:r w:rsidRPr="00882D2B">
        <w:rPr>
          <w:lang w:val="en-IE"/>
        </w:rPr>
        <w:t>in clinical and post-mortem specimens may be demonstrated by examination of stained smears or tissue sections and confirmed by cultivation of the organism on primary isolation medium. Collection containers should be clean and sterile</w:t>
      </w:r>
      <w:r w:rsidR="00A604F6" w:rsidRPr="00882D2B">
        <w:rPr>
          <w:lang w:val="en-IE"/>
        </w:rPr>
        <w:t>.</w:t>
      </w:r>
      <w:r w:rsidRPr="00882D2B">
        <w:rPr>
          <w:lang w:val="en-IE"/>
        </w:rPr>
        <w:t xml:space="preserve"> </w:t>
      </w:r>
      <w:r w:rsidR="0036486B" w:rsidRPr="00882D2B">
        <w:rPr>
          <w:lang w:val="en-IE"/>
        </w:rPr>
        <w:t>Non-sterile s</w:t>
      </w:r>
      <w:r w:rsidR="00FD66EF" w:rsidRPr="00882D2B">
        <w:rPr>
          <w:lang w:val="en-IE"/>
        </w:rPr>
        <w:t>ampling c</w:t>
      </w:r>
      <w:r w:rsidRPr="00882D2B">
        <w:rPr>
          <w:lang w:val="en-IE"/>
        </w:rPr>
        <w:t xml:space="preserve">ontainers may result in the failure to identify </w:t>
      </w:r>
      <w:r w:rsidR="00CC5BE0">
        <w:rPr>
          <w:lang w:val="en-IE"/>
        </w:rPr>
        <w:t xml:space="preserve">members of the MTBC </w:t>
      </w:r>
      <w:r w:rsidRPr="00882D2B">
        <w:rPr>
          <w:lang w:val="en-IE"/>
        </w:rPr>
        <w:t xml:space="preserve">due to the rapid growth of </w:t>
      </w:r>
      <w:r w:rsidR="00807DE1" w:rsidRPr="00882D2B">
        <w:rPr>
          <w:lang w:val="en-IE"/>
        </w:rPr>
        <w:t xml:space="preserve">contaminating </w:t>
      </w:r>
      <w:r w:rsidRPr="00882D2B">
        <w:rPr>
          <w:lang w:val="en-IE"/>
        </w:rPr>
        <w:t xml:space="preserve">environmental </w:t>
      </w:r>
      <w:r w:rsidR="00CC5BE0" w:rsidRPr="00882D2B">
        <w:rPr>
          <w:lang w:val="en-IE"/>
        </w:rPr>
        <w:t>mycobacteria</w:t>
      </w:r>
      <w:r w:rsidR="00291404">
        <w:t xml:space="preserve"> or other organisms</w:t>
      </w:r>
      <w:r w:rsidR="00807DE1" w:rsidRPr="00882D2B">
        <w:rPr>
          <w:lang w:val="en-IE"/>
        </w:rPr>
        <w:t>.</w:t>
      </w:r>
      <w:r w:rsidRPr="00882D2B">
        <w:rPr>
          <w:lang w:val="en-IE"/>
        </w:rPr>
        <w:t xml:space="preserve"> </w:t>
      </w:r>
      <w:r w:rsidR="00807DE1" w:rsidRPr="00882D2B">
        <w:rPr>
          <w:lang w:val="en-IE"/>
        </w:rPr>
        <w:t>S</w:t>
      </w:r>
      <w:r w:rsidRPr="00882D2B">
        <w:rPr>
          <w:lang w:val="en-IE"/>
        </w:rPr>
        <w:t xml:space="preserve">ingle-use plastic, disposable containers, 50 ml in capacity, may be used for a variety of specimen types. </w:t>
      </w:r>
      <w:r w:rsidRPr="00882D2B">
        <w:rPr>
          <w:lang w:val="en-IE"/>
        </w:rPr>
        <w:lastRenderedPageBreak/>
        <w:t>Specimens that are to be sent to the laboratory must be cushioned and sealed to prevent leakage, and properly packaged to withstand breakage or crushing in transit. The International Air Transport Association (IATA), Dangerous Goods Regulations (DGR) for shipping specimens from a suspected zoonotic disease must be followed</w:t>
      </w:r>
      <w:r w:rsidR="00A05C01" w:rsidRPr="00882D2B">
        <w:rPr>
          <w:lang w:val="en-IE"/>
        </w:rPr>
        <w:t xml:space="preserve"> as</w:t>
      </w:r>
      <w:r w:rsidRPr="00882D2B">
        <w:rPr>
          <w:lang w:val="en-IE"/>
        </w:rPr>
        <w:t xml:space="preserve"> summarised in Chapter 1.1.2 </w:t>
      </w:r>
      <w:r w:rsidRPr="00882D2B">
        <w:rPr>
          <w:i/>
          <w:iCs/>
          <w:lang w:val="en-IE"/>
        </w:rPr>
        <w:t>Collection, submission and storage of diagnostic specimens</w:t>
      </w:r>
      <w:r w:rsidRPr="00882D2B">
        <w:rPr>
          <w:lang w:val="en-IE"/>
        </w:rPr>
        <w:t xml:space="preserve"> and Chapter 1.1.3</w:t>
      </w:r>
      <w:r w:rsidRPr="00882D2B">
        <w:rPr>
          <w:lang w:val="en-IE" w:eastAsia="en-GB"/>
        </w:rPr>
        <w:t xml:space="preserve"> </w:t>
      </w:r>
      <w:r w:rsidRPr="00882D2B">
        <w:rPr>
          <w:i/>
          <w:iCs/>
          <w:lang w:val="en-IE" w:eastAsia="en-GB"/>
        </w:rPr>
        <w:t xml:space="preserve">Transport of </w:t>
      </w:r>
      <w:r w:rsidR="00EB31A7" w:rsidRPr="00882D2B">
        <w:rPr>
          <w:i/>
          <w:iCs/>
          <w:lang w:val="en-IE" w:eastAsia="en-GB"/>
        </w:rPr>
        <w:t>biological materials</w:t>
      </w:r>
      <w:r w:rsidRPr="00882D2B">
        <w:rPr>
          <w:lang w:val="en-IE"/>
        </w:rPr>
        <w:t xml:space="preserve">. </w:t>
      </w:r>
      <w:r w:rsidR="007C3335" w:rsidRPr="00882D2B">
        <w:rPr>
          <w:lang w:val="en-IE"/>
        </w:rPr>
        <w:t>D</w:t>
      </w:r>
      <w:r w:rsidRPr="00882D2B">
        <w:rPr>
          <w:lang w:val="en-IE"/>
        </w:rPr>
        <w:t xml:space="preserve">elivery of specimens to the laboratory </w:t>
      </w:r>
      <w:r w:rsidR="007C3335" w:rsidRPr="00882D2B">
        <w:rPr>
          <w:lang w:val="en-IE"/>
        </w:rPr>
        <w:t xml:space="preserve">within 48 hours </w:t>
      </w:r>
      <w:r w:rsidRPr="00882D2B">
        <w:rPr>
          <w:lang w:val="en-IE"/>
        </w:rPr>
        <w:t xml:space="preserve">greatly enhances the chances of cultural recovery of </w:t>
      </w:r>
      <w:r w:rsidR="00CC5BE0">
        <w:rPr>
          <w:iCs/>
          <w:lang w:val="en-IE"/>
        </w:rPr>
        <w:t>MTBC members</w:t>
      </w:r>
      <w:r w:rsidRPr="00882D2B">
        <w:rPr>
          <w:lang w:val="en-IE"/>
        </w:rPr>
        <w:t xml:space="preserve">. If delays in delivery are anticipated, specimens should be refrigerated or frozen to retard the growth of contaminants and to preserve the mycobacteria. In warm ambient conditions, </w:t>
      </w:r>
      <w:r w:rsidR="007C3335" w:rsidRPr="00882D2B">
        <w:rPr>
          <w:lang w:val="en-IE"/>
        </w:rPr>
        <w:t xml:space="preserve">or </w:t>
      </w:r>
      <w:r w:rsidRPr="00882D2B">
        <w:rPr>
          <w:lang w:val="en-IE"/>
        </w:rPr>
        <w:t>when refrigeration is not possible,</w:t>
      </w:r>
      <w:r w:rsidR="007C3335" w:rsidRPr="00882D2B">
        <w:rPr>
          <w:lang w:val="en-IE"/>
        </w:rPr>
        <w:t xml:space="preserve"> the tissue may be stored in a</w:t>
      </w:r>
      <w:r w:rsidRPr="00882D2B">
        <w:rPr>
          <w:lang w:val="en-IE"/>
        </w:rPr>
        <w:t xml:space="preserve"> </w:t>
      </w:r>
      <w:r w:rsidR="007C3335" w:rsidRPr="00882D2B">
        <w:rPr>
          <w:lang w:val="en-IE"/>
        </w:rPr>
        <w:t xml:space="preserve">saturated solution of sodium </w:t>
      </w:r>
      <w:r w:rsidRPr="00882D2B">
        <w:rPr>
          <w:lang w:val="en-IE"/>
        </w:rPr>
        <w:t>bor</w:t>
      </w:r>
      <w:r w:rsidR="007C3335" w:rsidRPr="00882D2B">
        <w:rPr>
          <w:lang w:val="en-IE"/>
        </w:rPr>
        <w:t>ate</w:t>
      </w:r>
      <w:r w:rsidRPr="00882D2B">
        <w:rPr>
          <w:lang w:val="en-IE"/>
        </w:rPr>
        <w:t xml:space="preserve">, but only for limited periods, no longer than </w:t>
      </w:r>
      <w:r w:rsidR="007C3335" w:rsidRPr="00882D2B">
        <w:rPr>
          <w:lang w:val="en-IE"/>
        </w:rPr>
        <w:t>30</w:t>
      </w:r>
      <w:r w:rsidR="009431C4" w:rsidRPr="00882D2B">
        <w:rPr>
          <w:lang w:val="en-IE"/>
        </w:rPr>
        <w:t> </w:t>
      </w:r>
      <w:r w:rsidR="007C3335" w:rsidRPr="00882D2B">
        <w:rPr>
          <w:lang w:val="en-IE"/>
        </w:rPr>
        <w:t>days</w:t>
      </w:r>
      <w:r w:rsidRPr="00882D2B">
        <w:rPr>
          <w:lang w:val="en-IE"/>
        </w:rPr>
        <w:t>.</w:t>
      </w:r>
    </w:p>
    <w:p w14:paraId="7AA38C47" w14:textId="71F98984" w:rsidR="00FE1123" w:rsidRPr="00882D2B" w:rsidRDefault="00F02C29" w:rsidP="00C27502">
      <w:pPr>
        <w:pStyle w:val="para1"/>
        <w:rPr>
          <w:lang w:val="en-IE"/>
        </w:rPr>
      </w:pPr>
      <w:r w:rsidRPr="00882D2B">
        <w:rPr>
          <w:lang w:val="en-IE"/>
        </w:rPr>
        <w:t>The main diagnostic methods</w:t>
      </w:r>
      <w:r w:rsidR="00555006" w:rsidRPr="00882D2B">
        <w:rPr>
          <w:lang w:val="en-IE"/>
        </w:rPr>
        <w:t xml:space="preserve"> and their fitness for purpose are </w:t>
      </w:r>
      <w:r w:rsidR="00765F81" w:rsidRPr="00882D2B">
        <w:rPr>
          <w:lang w:val="en-IE"/>
        </w:rPr>
        <w:t>summarised</w:t>
      </w:r>
      <w:r w:rsidR="00555006" w:rsidRPr="00882D2B">
        <w:rPr>
          <w:lang w:val="en-IE"/>
        </w:rPr>
        <w:t xml:space="preserve"> in Table 1 and described in the </w:t>
      </w:r>
      <w:r w:rsidR="0013285D" w:rsidRPr="00882D2B">
        <w:rPr>
          <w:lang w:val="en-IE"/>
        </w:rPr>
        <w:t xml:space="preserve">following </w:t>
      </w:r>
      <w:r w:rsidR="00555006" w:rsidRPr="00882D2B">
        <w:rPr>
          <w:lang w:val="en-IE"/>
        </w:rPr>
        <w:t>sections.</w:t>
      </w:r>
      <w:r w:rsidR="00140119" w:rsidRPr="00882D2B">
        <w:rPr>
          <w:lang w:val="en-IE"/>
        </w:rPr>
        <w:t xml:space="preserve"> </w:t>
      </w:r>
      <w:r w:rsidR="00D64EF7">
        <w:rPr>
          <w:lang w:val="en-IE"/>
        </w:rPr>
        <w:t>This is not an exhaustive listing</w:t>
      </w:r>
      <w:r w:rsidR="00876370">
        <w:rPr>
          <w:lang w:val="en-IE"/>
        </w:rPr>
        <w:t xml:space="preserve"> but indicates test appropriate for different purposes</w:t>
      </w:r>
      <w:r w:rsidR="00842030">
        <w:rPr>
          <w:lang w:val="en-IE"/>
        </w:rPr>
        <w:t xml:space="preserve"> in different host species.</w:t>
      </w:r>
    </w:p>
    <w:p w14:paraId="258E8FEB" w14:textId="1B938C73" w:rsidR="0015316B" w:rsidRPr="00882D2B" w:rsidRDefault="0015316B" w:rsidP="005D629C">
      <w:pPr>
        <w:pStyle w:val="Tabletitle"/>
        <w:rPr>
          <w:lang w:val="en-IE"/>
        </w:rPr>
      </w:pPr>
      <w:r w:rsidRPr="00882D2B">
        <w:rPr>
          <w:lang w:val="en-IE"/>
        </w:rPr>
        <w:t xml:space="preserve">Table </w:t>
      </w:r>
      <w:r w:rsidRPr="00882D2B">
        <w:rPr>
          <w:noProof/>
          <w:lang w:val="en-IE"/>
        </w:rPr>
        <w:t>1</w:t>
      </w:r>
      <w:r w:rsidRPr="00882D2B">
        <w:rPr>
          <w:lang w:val="en-IE"/>
        </w:rPr>
        <w:t xml:space="preserve">. </w:t>
      </w:r>
      <w:bookmarkStart w:id="6" w:name="_Hlk95750989"/>
      <w:r w:rsidRPr="00882D2B">
        <w:rPr>
          <w:b w:val="0"/>
          <w:bCs w:val="0"/>
          <w:lang w:val="en-IE"/>
        </w:rPr>
        <w:t xml:space="preserve">Test methods available </w:t>
      </w:r>
      <w:r w:rsidR="004B622F" w:rsidRPr="00882D2B">
        <w:rPr>
          <w:b w:val="0"/>
          <w:bCs w:val="0"/>
          <w:lang w:val="en-IE"/>
        </w:rPr>
        <w:t xml:space="preserve">for use in </w:t>
      </w:r>
      <w:r w:rsidR="004B622F" w:rsidRPr="00882D2B">
        <w:rPr>
          <w:lang w:val="en-IE"/>
        </w:rPr>
        <w:t>cattle</w:t>
      </w:r>
      <w:r w:rsidR="00D45BC7" w:rsidRPr="00882D2B">
        <w:rPr>
          <w:lang w:val="en-IE"/>
        </w:rPr>
        <w:t xml:space="preserve">, goats, </w:t>
      </w:r>
      <w:r w:rsidR="00D45BC7" w:rsidRPr="00882D2B">
        <w:rPr>
          <w:b w:val="0"/>
          <w:bCs w:val="0"/>
          <w:lang w:val="en-IE"/>
        </w:rPr>
        <w:t xml:space="preserve">and </w:t>
      </w:r>
      <w:r w:rsidR="00D45BC7" w:rsidRPr="00882D2B">
        <w:rPr>
          <w:lang w:val="en-IE"/>
        </w:rPr>
        <w:t>camelids</w:t>
      </w:r>
      <w:r w:rsidR="004B622F" w:rsidRPr="00882D2B">
        <w:rPr>
          <w:b w:val="0"/>
          <w:bCs w:val="0"/>
          <w:lang w:val="en-IE"/>
        </w:rPr>
        <w:t xml:space="preserve"> </w:t>
      </w:r>
      <w:r w:rsidRPr="00882D2B">
        <w:rPr>
          <w:b w:val="0"/>
          <w:bCs w:val="0"/>
          <w:lang w:val="en-IE"/>
        </w:rPr>
        <w:t>and their purpose</w:t>
      </w:r>
      <w:bookmarkEnd w:id="6"/>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6" w:type="dxa"/>
          <w:right w:w="96" w:type="dxa"/>
        </w:tblCellMar>
        <w:tblLook w:val="00A0" w:firstRow="1" w:lastRow="0" w:firstColumn="1" w:lastColumn="0" w:noHBand="0" w:noVBand="0"/>
      </w:tblPr>
      <w:tblGrid>
        <w:gridCol w:w="1552"/>
        <w:gridCol w:w="1134"/>
        <w:gridCol w:w="1418"/>
        <w:gridCol w:w="1275"/>
        <w:gridCol w:w="1134"/>
        <w:gridCol w:w="1134"/>
        <w:gridCol w:w="1693"/>
      </w:tblGrid>
      <w:tr w:rsidR="00D45BC7" w:rsidRPr="00882D2B" w14:paraId="5C269579" w14:textId="77777777" w:rsidTr="00140119">
        <w:trPr>
          <w:trHeight w:val="402"/>
          <w:tblHeader/>
          <w:jc w:val="center"/>
        </w:trPr>
        <w:tc>
          <w:tcPr>
            <w:tcW w:w="1552" w:type="dxa"/>
            <w:vMerge w:val="restart"/>
            <w:vAlign w:val="center"/>
          </w:tcPr>
          <w:p w14:paraId="6E12A284" w14:textId="77777777" w:rsidR="00D45BC7" w:rsidRPr="00882D2B" w:rsidRDefault="00D45BC7" w:rsidP="00FE1123">
            <w:pPr>
              <w:pStyle w:val="TableHead"/>
              <w:rPr>
                <w:rFonts w:ascii="Arial" w:hAnsi="Arial" w:cs="Arial"/>
                <w:b w:val="0"/>
                <w:bCs w:val="0"/>
                <w:sz w:val="16"/>
                <w:szCs w:val="16"/>
                <w:lang w:eastAsia="en-GB"/>
              </w:rPr>
            </w:pPr>
            <w:r w:rsidRPr="00882D2B">
              <w:rPr>
                <w:rFonts w:ascii="Arial" w:hAnsi="Arial" w:cs="Arial"/>
                <w:lang w:eastAsia="en-GB"/>
              </w:rPr>
              <w:t>Method</w:t>
            </w:r>
          </w:p>
        </w:tc>
        <w:tc>
          <w:tcPr>
            <w:tcW w:w="7788" w:type="dxa"/>
            <w:gridSpan w:val="6"/>
            <w:vAlign w:val="center"/>
          </w:tcPr>
          <w:p w14:paraId="5BF18921" w14:textId="77777777" w:rsidR="00D45BC7" w:rsidRPr="00882D2B" w:rsidRDefault="00D45BC7" w:rsidP="00FE1123">
            <w:pPr>
              <w:pStyle w:val="Tabletext"/>
              <w:rPr>
                <w:b/>
                <w:bCs/>
                <w:sz w:val="16"/>
                <w:szCs w:val="16"/>
                <w:lang w:eastAsia="en-GB"/>
              </w:rPr>
            </w:pPr>
            <w:r w:rsidRPr="00882D2B">
              <w:rPr>
                <w:b/>
                <w:bCs/>
                <w:lang w:eastAsia="en-GB"/>
              </w:rPr>
              <w:t>Purpose</w:t>
            </w:r>
          </w:p>
        </w:tc>
      </w:tr>
      <w:tr w:rsidR="00D45BC7" w:rsidRPr="00882D2B" w14:paraId="58B2615E" w14:textId="77777777" w:rsidTr="00140119">
        <w:trPr>
          <w:trHeight w:val="402"/>
          <w:tblHeader/>
          <w:jc w:val="center"/>
        </w:trPr>
        <w:tc>
          <w:tcPr>
            <w:tcW w:w="1552" w:type="dxa"/>
            <w:vMerge/>
            <w:vAlign w:val="center"/>
          </w:tcPr>
          <w:p w14:paraId="4F411EAB" w14:textId="77777777" w:rsidR="00D45BC7" w:rsidRPr="00882D2B" w:rsidRDefault="00D45BC7" w:rsidP="00FE1123">
            <w:pPr>
              <w:rPr>
                <w:rFonts w:ascii="Arial" w:hAnsi="Arial" w:cs="Arial"/>
                <w:sz w:val="16"/>
                <w:szCs w:val="16"/>
                <w:lang w:val="en-IE" w:eastAsia="en-GB"/>
              </w:rPr>
            </w:pPr>
          </w:p>
        </w:tc>
        <w:tc>
          <w:tcPr>
            <w:tcW w:w="1134" w:type="dxa"/>
            <w:vAlign w:val="center"/>
          </w:tcPr>
          <w:p w14:paraId="10426C8D" w14:textId="77777777" w:rsidR="00D45BC7" w:rsidRPr="00882D2B" w:rsidRDefault="00D45BC7" w:rsidP="00FE1123">
            <w:pPr>
              <w:pStyle w:val="Tabletext"/>
              <w:rPr>
                <w:sz w:val="16"/>
                <w:szCs w:val="16"/>
                <w:lang w:eastAsia="en-GB"/>
              </w:rPr>
            </w:pPr>
            <w:r w:rsidRPr="00882D2B">
              <w:rPr>
                <w:sz w:val="16"/>
                <w:szCs w:val="16"/>
                <w:lang w:eastAsia="en-GB"/>
              </w:rPr>
              <w:t>Population freedom from infection</w:t>
            </w:r>
          </w:p>
        </w:tc>
        <w:tc>
          <w:tcPr>
            <w:tcW w:w="1418" w:type="dxa"/>
            <w:vAlign w:val="center"/>
          </w:tcPr>
          <w:p w14:paraId="5F4B1C50" w14:textId="77777777" w:rsidR="00D45BC7" w:rsidRPr="00882D2B" w:rsidRDefault="00D45BC7" w:rsidP="00FE1123">
            <w:pPr>
              <w:pStyle w:val="Tabletext"/>
              <w:rPr>
                <w:sz w:val="16"/>
                <w:szCs w:val="16"/>
                <w:lang w:eastAsia="en-GB"/>
              </w:rPr>
            </w:pPr>
            <w:r w:rsidRPr="00882D2B">
              <w:rPr>
                <w:sz w:val="16"/>
                <w:szCs w:val="16"/>
                <w:lang w:eastAsia="en-GB"/>
              </w:rPr>
              <w:t>Individual animal freedom from infection prior to movement</w:t>
            </w:r>
          </w:p>
        </w:tc>
        <w:tc>
          <w:tcPr>
            <w:tcW w:w="1275" w:type="dxa"/>
            <w:vAlign w:val="center"/>
          </w:tcPr>
          <w:p w14:paraId="5F8A00A7" w14:textId="77777777" w:rsidR="00D45BC7" w:rsidRPr="00882D2B" w:rsidRDefault="00D45BC7" w:rsidP="00FE1123">
            <w:pPr>
              <w:pStyle w:val="Tabletext"/>
              <w:rPr>
                <w:sz w:val="16"/>
                <w:szCs w:val="16"/>
                <w:lang w:eastAsia="en-GB"/>
              </w:rPr>
            </w:pPr>
            <w:r w:rsidRPr="00882D2B">
              <w:rPr>
                <w:sz w:val="16"/>
                <w:szCs w:val="16"/>
                <w:lang w:eastAsia="en-GB"/>
              </w:rPr>
              <w:t>Contribute to eradication policies</w:t>
            </w:r>
          </w:p>
        </w:tc>
        <w:tc>
          <w:tcPr>
            <w:tcW w:w="1134" w:type="dxa"/>
            <w:vAlign w:val="center"/>
          </w:tcPr>
          <w:p w14:paraId="4C47ED78" w14:textId="77777777" w:rsidR="00D45BC7" w:rsidRPr="00882D2B" w:rsidRDefault="00D45BC7" w:rsidP="00FE1123">
            <w:pPr>
              <w:pStyle w:val="Tabletext"/>
              <w:rPr>
                <w:sz w:val="16"/>
                <w:szCs w:val="16"/>
                <w:lang w:eastAsia="en-GB"/>
              </w:rPr>
            </w:pPr>
            <w:r w:rsidRPr="00882D2B">
              <w:rPr>
                <w:sz w:val="16"/>
                <w:szCs w:val="16"/>
                <w:lang w:eastAsia="en-GB"/>
              </w:rPr>
              <w:t>Confirmation of clinical cases</w:t>
            </w:r>
          </w:p>
        </w:tc>
        <w:tc>
          <w:tcPr>
            <w:tcW w:w="1134" w:type="dxa"/>
            <w:vAlign w:val="center"/>
          </w:tcPr>
          <w:p w14:paraId="7E6DF686" w14:textId="77777777" w:rsidR="00D45BC7" w:rsidRPr="00882D2B" w:rsidRDefault="00D45BC7" w:rsidP="00FE1123">
            <w:pPr>
              <w:pStyle w:val="Tabletext"/>
              <w:rPr>
                <w:sz w:val="16"/>
                <w:szCs w:val="16"/>
                <w:lang w:eastAsia="en-GB"/>
              </w:rPr>
            </w:pPr>
            <w:r w:rsidRPr="00882D2B">
              <w:rPr>
                <w:sz w:val="16"/>
                <w:szCs w:val="16"/>
                <w:lang w:eastAsia="en-GB"/>
              </w:rPr>
              <w:t>Prevalence of infection – surveillance</w:t>
            </w:r>
          </w:p>
        </w:tc>
        <w:tc>
          <w:tcPr>
            <w:tcW w:w="1693" w:type="dxa"/>
            <w:vAlign w:val="center"/>
          </w:tcPr>
          <w:p w14:paraId="5B975C07" w14:textId="77777777" w:rsidR="00D45BC7" w:rsidRPr="00882D2B" w:rsidRDefault="00D45BC7" w:rsidP="00FE1123">
            <w:pPr>
              <w:pStyle w:val="Tabletext"/>
              <w:rPr>
                <w:sz w:val="16"/>
                <w:szCs w:val="16"/>
                <w:lang w:eastAsia="en-GB"/>
              </w:rPr>
            </w:pPr>
            <w:r w:rsidRPr="00882D2B">
              <w:rPr>
                <w:sz w:val="16"/>
                <w:szCs w:val="16"/>
                <w:lang w:eastAsia="en-GB"/>
              </w:rPr>
              <w:t>Immune status in individual animals or populations post-vaccination</w:t>
            </w:r>
          </w:p>
        </w:tc>
      </w:tr>
      <w:tr w:rsidR="00D45BC7" w:rsidRPr="00882D2B" w14:paraId="28CA4FF4" w14:textId="77777777" w:rsidTr="00140119">
        <w:trPr>
          <w:trHeight w:val="402"/>
          <w:jc w:val="center"/>
        </w:trPr>
        <w:tc>
          <w:tcPr>
            <w:tcW w:w="9340" w:type="dxa"/>
            <w:gridSpan w:val="7"/>
            <w:shd w:val="pct10" w:color="auto" w:fill="auto"/>
            <w:vAlign w:val="center"/>
          </w:tcPr>
          <w:p w14:paraId="4E4E3168" w14:textId="0F69ECBA" w:rsidR="00D45BC7" w:rsidRPr="00882D2B" w:rsidRDefault="00D45BC7" w:rsidP="00FE1123">
            <w:pPr>
              <w:pStyle w:val="Tabletext"/>
              <w:rPr>
                <w:lang w:eastAsia="en-GB"/>
              </w:rPr>
            </w:pPr>
            <w:r w:rsidRPr="00882D2B">
              <w:rPr>
                <w:b/>
                <w:bCs/>
                <w:sz w:val="16"/>
                <w:szCs w:val="16"/>
                <w:lang w:eastAsia="en-GB"/>
              </w:rPr>
              <w:t>Detection of the agent</w:t>
            </w:r>
          </w:p>
        </w:tc>
      </w:tr>
      <w:tr w:rsidR="00D45BC7" w:rsidRPr="00882D2B" w14:paraId="62ADE72A" w14:textId="77777777" w:rsidTr="00140119">
        <w:trPr>
          <w:trHeight w:val="402"/>
          <w:jc w:val="center"/>
        </w:trPr>
        <w:tc>
          <w:tcPr>
            <w:tcW w:w="1552" w:type="dxa"/>
            <w:vAlign w:val="center"/>
          </w:tcPr>
          <w:p w14:paraId="746A1011" w14:textId="77777777" w:rsidR="00D45BC7" w:rsidRPr="00882D2B" w:rsidRDefault="00D45BC7" w:rsidP="00FE1123">
            <w:pPr>
              <w:spacing w:before="120" w:after="120"/>
              <w:jc w:val="center"/>
              <w:rPr>
                <w:rFonts w:ascii="Arial" w:hAnsi="Arial" w:cs="Arial"/>
                <w:b/>
                <w:bCs/>
                <w:sz w:val="16"/>
                <w:szCs w:val="16"/>
                <w:lang w:val="en-IE"/>
              </w:rPr>
            </w:pPr>
            <w:r w:rsidRPr="00882D2B">
              <w:rPr>
                <w:rFonts w:ascii="Arial" w:hAnsi="Arial" w:cs="Arial"/>
                <w:b/>
                <w:bCs/>
                <w:sz w:val="16"/>
                <w:szCs w:val="16"/>
                <w:lang w:val="en-IE"/>
              </w:rPr>
              <w:t>Acid-fast staining and microscopy</w:t>
            </w:r>
          </w:p>
        </w:tc>
        <w:tc>
          <w:tcPr>
            <w:tcW w:w="1134" w:type="dxa"/>
            <w:vAlign w:val="center"/>
          </w:tcPr>
          <w:p w14:paraId="23F74082" w14:textId="77777777" w:rsidR="00D45BC7" w:rsidRPr="006B263A" w:rsidRDefault="00D45BC7" w:rsidP="00FE1123">
            <w:pPr>
              <w:pStyle w:val="Tabletext"/>
              <w:rPr>
                <w:sz w:val="16"/>
                <w:szCs w:val="16"/>
              </w:rPr>
            </w:pPr>
            <w:r w:rsidRPr="006B263A">
              <w:rPr>
                <w:sz w:val="16"/>
                <w:szCs w:val="16"/>
              </w:rPr>
              <w:t>–</w:t>
            </w:r>
          </w:p>
        </w:tc>
        <w:tc>
          <w:tcPr>
            <w:tcW w:w="1418" w:type="dxa"/>
            <w:vAlign w:val="center"/>
          </w:tcPr>
          <w:p w14:paraId="5F727718" w14:textId="394A7ADB" w:rsidR="00D45BC7" w:rsidRPr="006B263A" w:rsidRDefault="009431C4" w:rsidP="00FE1123">
            <w:pPr>
              <w:pStyle w:val="Tabletext"/>
              <w:rPr>
                <w:sz w:val="16"/>
                <w:szCs w:val="16"/>
              </w:rPr>
            </w:pPr>
            <w:r w:rsidRPr="006B263A">
              <w:rPr>
                <w:sz w:val="16"/>
                <w:szCs w:val="16"/>
              </w:rPr>
              <w:t>–</w:t>
            </w:r>
          </w:p>
        </w:tc>
        <w:tc>
          <w:tcPr>
            <w:tcW w:w="1275" w:type="dxa"/>
            <w:vAlign w:val="center"/>
          </w:tcPr>
          <w:p w14:paraId="454FB294" w14:textId="77777777" w:rsidR="00D45BC7" w:rsidRPr="006B263A" w:rsidRDefault="00D45BC7" w:rsidP="00FE1123">
            <w:pPr>
              <w:pStyle w:val="Tabletext"/>
              <w:rPr>
                <w:sz w:val="16"/>
                <w:szCs w:val="16"/>
              </w:rPr>
            </w:pPr>
            <w:r w:rsidRPr="006B263A">
              <w:rPr>
                <w:sz w:val="16"/>
                <w:szCs w:val="16"/>
              </w:rPr>
              <w:t>–</w:t>
            </w:r>
          </w:p>
        </w:tc>
        <w:tc>
          <w:tcPr>
            <w:tcW w:w="1134" w:type="dxa"/>
            <w:vAlign w:val="center"/>
          </w:tcPr>
          <w:p w14:paraId="1D82AFF5" w14:textId="77777777" w:rsidR="00D45BC7" w:rsidRPr="006B263A" w:rsidRDefault="00D45BC7" w:rsidP="00FE1123">
            <w:pPr>
              <w:pStyle w:val="Tabletext"/>
              <w:rPr>
                <w:sz w:val="16"/>
                <w:szCs w:val="16"/>
              </w:rPr>
            </w:pPr>
            <w:r w:rsidRPr="006B263A">
              <w:rPr>
                <w:sz w:val="16"/>
                <w:szCs w:val="16"/>
              </w:rPr>
              <w:t>+</w:t>
            </w:r>
          </w:p>
        </w:tc>
        <w:tc>
          <w:tcPr>
            <w:tcW w:w="1134" w:type="dxa"/>
            <w:vAlign w:val="center"/>
          </w:tcPr>
          <w:p w14:paraId="39A51BD4" w14:textId="77777777" w:rsidR="00D45BC7" w:rsidRPr="006B263A" w:rsidRDefault="00D45BC7" w:rsidP="00FE1123">
            <w:pPr>
              <w:pStyle w:val="Tabletext"/>
              <w:rPr>
                <w:sz w:val="16"/>
                <w:szCs w:val="16"/>
              </w:rPr>
            </w:pPr>
            <w:r w:rsidRPr="006B263A">
              <w:rPr>
                <w:sz w:val="16"/>
                <w:szCs w:val="16"/>
              </w:rPr>
              <w:t>–</w:t>
            </w:r>
          </w:p>
        </w:tc>
        <w:tc>
          <w:tcPr>
            <w:tcW w:w="1693" w:type="dxa"/>
            <w:vAlign w:val="center"/>
          </w:tcPr>
          <w:p w14:paraId="0E2954FB" w14:textId="77777777" w:rsidR="00D45BC7" w:rsidRPr="006B263A" w:rsidRDefault="00D45BC7" w:rsidP="00FE1123">
            <w:pPr>
              <w:pStyle w:val="Tabletext"/>
              <w:rPr>
                <w:sz w:val="16"/>
                <w:szCs w:val="16"/>
              </w:rPr>
            </w:pPr>
            <w:r w:rsidRPr="006B263A">
              <w:rPr>
                <w:sz w:val="16"/>
                <w:szCs w:val="16"/>
              </w:rPr>
              <w:t>–</w:t>
            </w:r>
          </w:p>
        </w:tc>
      </w:tr>
      <w:tr w:rsidR="00D45BC7" w:rsidRPr="00882D2B" w14:paraId="16C77342" w14:textId="77777777" w:rsidTr="00140119">
        <w:trPr>
          <w:trHeight w:val="402"/>
          <w:jc w:val="center"/>
        </w:trPr>
        <w:tc>
          <w:tcPr>
            <w:tcW w:w="1552" w:type="dxa"/>
            <w:vAlign w:val="center"/>
          </w:tcPr>
          <w:p w14:paraId="448A291F" w14:textId="77777777" w:rsidR="00D45BC7" w:rsidRPr="00882D2B" w:rsidRDefault="00D45BC7" w:rsidP="00FE1123">
            <w:pPr>
              <w:spacing w:before="120" w:after="120"/>
              <w:jc w:val="center"/>
              <w:rPr>
                <w:rFonts w:ascii="Arial" w:hAnsi="Arial" w:cs="Arial"/>
                <w:b/>
                <w:bCs/>
                <w:sz w:val="16"/>
                <w:szCs w:val="16"/>
                <w:lang w:val="en-IE"/>
              </w:rPr>
            </w:pPr>
            <w:r w:rsidRPr="00882D2B">
              <w:rPr>
                <w:rFonts w:ascii="Arial" w:hAnsi="Arial" w:cs="Arial"/>
                <w:b/>
                <w:bCs/>
                <w:sz w:val="16"/>
                <w:szCs w:val="16"/>
                <w:lang w:val="en-IE"/>
              </w:rPr>
              <w:t xml:space="preserve">Bacterial isolation </w:t>
            </w:r>
          </w:p>
        </w:tc>
        <w:tc>
          <w:tcPr>
            <w:tcW w:w="1134" w:type="dxa"/>
            <w:vAlign w:val="center"/>
          </w:tcPr>
          <w:p w14:paraId="03587590" w14:textId="77777777" w:rsidR="00D45BC7" w:rsidRPr="006B263A" w:rsidRDefault="00D45BC7" w:rsidP="00FE1123">
            <w:pPr>
              <w:pStyle w:val="Tabletext"/>
              <w:rPr>
                <w:sz w:val="16"/>
                <w:szCs w:val="16"/>
                <w:lang w:eastAsia="en-GB"/>
              </w:rPr>
            </w:pPr>
            <w:r w:rsidRPr="006B263A">
              <w:rPr>
                <w:sz w:val="16"/>
                <w:szCs w:val="16"/>
              </w:rPr>
              <w:t>++</w:t>
            </w:r>
          </w:p>
        </w:tc>
        <w:tc>
          <w:tcPr>
            <w:tcW w:w="1418" w:type="dxa"/>
            <w:vAlign w:val="center"/>
          </w:tcPr>
          <w:p w14:paraId="73A2CCFB" w14:textId="77777777" w:rsidR="00D45BC7" w:rsidRPr="006B263A" w:rsidRDefault="00D45BC7" w:rsidP="00FE1123">
            <w:pPr>
              <w:pStyle w:val="Tabletext"/>
              <w:rPr>
                <w:sz w:val="16"/>
                <w:szCs w:val="16"/>
                <w:lang w:eastAsia="en-GB"/>
              </w:rPr>
            </w:pPr>
            <w:r w:rsidRPr="006B263A">
              <w:rPr>
                <w:sz w:val="16"/>
                <w:szCs w:val="16"/>
              </w:rPr>
              <w:t>–</w:t>
            </w:r>
          </w:p>
        </w:tc>
        <w:tc>
          <w:tcPr>
            <w:tcW w:w="1275" w:type="dxa"/>
            <w:vAlign w:val="center"/>
          </w:tcPr>
          <w:p w14:paraId="479EB7D0" w14:textId="33E91BE5" w:rsidR="00D45BC7" w:rsidRPr="006B263A" w:rsidRDefault="00D45BC7" w:rsidP="00FE1123">
            <w:pPr>
              <w:pStyle w:val="Tabletext"/>
              <w:rPr>
                <w:sz w:val="16"/>
                <w:szCs w:val="16"/>
                <w:lang w:eastAsia="en-GB"/>
              </w:rPr>
            </w:pPr>
            <w:r w:rsidRPr="006B263A">
              <w:rPr>
                <w:sz w:val="16"/>
                <w:szCs w:val="16"/>
              </w:rPr>
              <w:t>++</w:t>
            </w:r>
          </w:p>
        </w:tc>
        <w:tc>
          <w:tcPr>
            <w:tcW w:w="1134" w:type="dxa"/>
            <w:vAlign w:val="center"/>
          </w:tcPr>
          <w:p w14:paraId="2EFE7F81" w14:textId="77777777" w:rsidR="00D45BC7" w:rsidRPr="006B263A" w:rsidRDefault="00D45BC7" w:rsidP="00FE1123">
            <w:pPr>
              <w:pStyle w:val="Tabletext"/>
              <w:rPr>
                <w:sz w:val="16"/>
                <w:szCs w:val="16"/>
                <w:lang w:eastAsia="en-GB"/>
              </w:rPr>
            </w:pPr>
            <w:r w:rsidRPr="006B263A">
              <w:rPr>
                <w:sz w:val="16"/>
                <w:szCs w:val="16"/>
              </w:rPr>
              <w:t>+++</w:t>
            </w:r>
          </w:p>
        </w:tc>
        <w:tc>
          <w:tcPr>
            <w:tcW w:w="1134" w:type="dxa"/>
            <w:vAlign w:val="center"/>
          </w:tcPr>
          <w:p w14:paraId="746E42A4" w14:textId="77777777" w:rsidR="00D45BC7" w:rsidRPr="006B263A" w:rsidRDefault="00D45BC7" w:rsidP="00FE1123">
            <w:pPr>
              <w:pStyle w:val="Tabletext"/>
              <w:rPr>
                <w:sz w:val="16"/>
                <w:szCs w:val="16"/>
                <w:lang w:eastAsia="en-GB"/>
              </w:rPr>
            </w:pPr>
            <w:r w:rsidRPr="006B263A">
              <w:rPr>
                <w:sz w:val="16"/>
                <w:szCs w:val="16"/>
              </w:rPr>
              <w:t>++</w:t>
            </w:r>
          </w:p>
        </w:tc>
        <w:tc>
          <w:tcPr>
            <w:tcW w:w="1693" w:type="dxa"/>
            <w:vAlign w:val="center"/>
          </w:tcPr>
          <w:p w14:paraId="44FF720F" w14:textId="77777777" w:rsidR="00D45BC7" w:rsidRPr="006B263A" w:rsidRDefault="00D45BC7" w:rsidP="00FE1123">
            <w:pPr>
              <w:pStyle w:val="Tabletext"/>
              <w:rPr>
                <w:sz w:val="16"/>
                <w:szCs w:val="16"/>
                <w:lang w:eastAsia="en-GB"/>
              </w:rPr>
            </w:pPr>
            <w:r w:rsidRPr="006B263A">
              <w:rPr>
                <w:sz w:val="16"/>
                <w:szCs w:val="16"/>
              </w:rPr>
              <w:t>–</w:t>
            </w:r>
          </w:p>
        </w:tc>
      </w:tr>
      <w:tr w:rsidR="00D45BC7" w:rsidRPr="00882D2B" w14:paraId="0C095A07" w14:textId="77777777" w:rsidTr="00140119">
        <w:trPr>
          <w:trHeight w:val="402"/>
          <w:jc w:val="center"/>
        </w:trPr>
        <w:tc>
          <w:tcPr>
            <w:tcW w:w="1552" w:type="dxa"/>
            <w:vAlign w:val="center"/>
          </w:tcPr>
          <w:p w14:paraId="7C9D5B3A" w14:textId="38451126" w:rsidR="00D45BC7" w:rsidRPr="00882D2B" w:rsidRDefault="00730C6A" w:rsidP="00FE1123">
            <w:pPr>
              <w:spacing w:before="120" w:after="120"/>
              <w:jc w:val="center"/>
              <w:rPr>
                <w:rFonts w:ascii="Arial" w:hAnsi="Arial" w:cs="Arial"/>
                <w:b/>
                <w:bCs/>
                <w:sz w:val="16"/>
                <w:szCs w:val="16"/>
                <w:lang w:val="en-IE"/>
              </w:rPr>
            </w:pPr>
            <w:r w:rsidRPr="00236FA9">
              <w:rPr>
                <w:rFonts w:ascii="Arial" w:hAnsi="Arial" w:cs="Arial"/>
                <w:b/>
                <w:bCs/>
                <w:sz w:val="16"/>
                <w:szCs w:val="16"/>
                <w:lang w:val="en-IE"/>
              </w:rPr>
              <w:t>Histopathology and antigen detection</w:t>
            </w:r>
          </w:p>
        </w:tc>
        <w:tc>
          <w:tcPr>
            <w:tcW w:w="1134" w:type="dxa"/>
            <w:vAlign w:val="center"/>
          </w:tcPr>
          <w:p w14:paraId="3BC1BF60" w14:textId="456A01AC" w:rsidR="00D45BC7" w:rsidRPr="006B263A" w:rsidRDefault="00785685" w:rsidP="00FE1123">
            <w:pPr>
              <w:pStyle w:val="Tabletext"/>
              <w:rPr>
                <w:sz w:val="16"/>
                <w:szCs w:val="16"/>
                <w:lang w:eastAsia="en-GB"/>
              </w:rPr>
            </w:pPr>
            <w:r>
              <w:rPr>
                <w:sz w:val="16"/>
                <w:szCs w:val="16"/>
                <w:lang w:eastAsia="en-GB"/>
              </w:rPr>
              <w:t>+</w:t>
            </w:r>
          </w:p>
        </w:tc>
        <w:tc>
          <w:tcPr>
            <w:tcW w:w="1418" w:type="dxa"/>
            <w:vAlign w:val="center"/>
          </w:tcPr>
          <w:p w14:paraId="12D790BB" w14:textId="77777777" w:rsidR="00D45BC7" w:rsidRPr="006B263A" w:rsidRDefault="00D45BC7" w:rsidP="00FE1123">
            <w:pPr>
              <w:pStyle w:val="Tabletext"/>
              <w:rPr>
                <w:sz w:val="16"/>
                <w:szCs w:val="16"/>
                <w:lang w:eastAsia="en-GB"/>
              </w:rPr>
            </w:pPr>
            <w:r w:rsidRPr="006B263A">
              <w:rPr>
                <w:sz w:val="16"/>
                <w:szCs w:val="16"/>
                <w:lang w:eastAsia="en-GB"/>
              </w:rPr>
              <w:t>–</w:t>
            </w:r>
          </w:p>
        </w:tc>
        <w:tc>
          <w:tcPr>
            <w:tcW w:w="1275" w:type="dxa"/>
            <w:vAlign w:val="center"/>
          </w:tcPr>
          <w:p w14:paraId="72D81B04" w14:textId="372F3B6F" w:rsidR="00D45BC7" w:rsidRPr="006B263A" w:rsidRDefault="00785685" w:rsidP="00FE1123">
            <w:pPr>
              <w:pStyle w:val="Tabletext"/>
              <w:rPr>
                <w:sz w:val="16"/>
                <w:szCs w:val="16"/>
                <w:lang w:eastAsia="en-GB"/>
              </w:rPr>
            </w:pPr>
            <w:r>
              <w:rPr>
                <w:sz w:val="16"/>
                <w:szCs w:val="16"/>
                <w:lang w:eastAsia="en-GB"/>
              </w:rPr>
              <w:t>+</w:t>
            </w:r>
          </w:p>
        </w:tc>
        <w:tc>
          <w:tcPr>
            <w:tcW w:w="1134" w:type="dxa"/>
            <w:vAlign w:val="center"/>
          </w:tcPr>
          <w:p w14:paraId="6791546C" w14:textId="1CA6014D" w:rsidR="00D45BC7" w:rsidRPr="006B263A" w:rsidRDefault="00730C6A" w:rsidP="00FE1123">
            <w:pPr>
              <w:pStyle w:val="Tabletext"/>
              <w:rPr>
                <w:sz w:val="16"/>
                <w:szCs w:val="16"/>
                <w:lang w:eastAsia="en-GB"/>
              </w:rPr>
            </w:pPr>
            <w:r w:rsidRPr="00236FA9">
              <w:rPr>
                <w:lang w:eastAsia="en-GB"/>
              </w:rPr>
              <w:t>+</w:t>
            </w:r>
          </w:p>
        </w:tc>
        <w:tc>
          <w:tcPr>
            <w:tcW w:w="1134" w:type="dxa"/>
            <w:vAlign w:val="center"/>
          </w:tcPr>
          <w:p w14:paraId="4D60A9B2" w14:textId="77777777" w:rsidR="00D45BC7" w:rsidRPr="006B263A" w:rsidRDefault="00D45BC7" w:rsidP="00FE1123">
            <w:pPr>
              <w:pStyle w:val="Tabletext"/>
              <w:rPr>
                <w:sz w:val="16"/>
                <w:szCs w:val="16"/>
                <w:lang w:eastAsia="en-GB"/>
              </w:rPr>
            </w:pPr>
            <w:r w:rsidRPr="006B263A">
              <w:rPr>
                <w:sz w:val="16"/>
                <w:szCs w:val="16"/>
                <w:lang w:eastAsia="en-GB"/>
              </w:rPr>
              <w:t>–</w:t>
            </w:r>
          </w:p>
        </w:tc>
        <w:tc>
          <w:tcPr>
            <w:tcW w:w="1693" w:type="dxa"/>
            <w:vAlign w:val="center"/>
          </w:tcPr>
          <w:p w14:paraId="105AF22D" w14:textId="77777777" w:rsidR="00D45BC7" w:rsidRPr="006B263A" w:rsidRDefault="00D45BC7" w:rsidP="00FE1123">
            <w:pPr>
              <w:pStyle w:val="Tabletext"/>
              <w:rPr>
                <w:sz w:val="16"/>
                <w:szCs w:val="16"/>
                <w:lang w:eastAsia="en-GB"/>
              </w:rPr>
            </w:pPr>
            <w:r w:rsidRPr="006B263A">
              <w:rPr>
                <w:sz w:val="16"/>
                <w:szCs w:val="16"/>
              </w:rPr>
              <w:t>–</w:t>
            </w:r>
          </w:p>
        </w:tc>
      </w:tr>
      <w:tr w:rsidR="00D45BC7" w:rsidRPr="00882D2B" w14:paraId="160D00FA" w14:textId="77777777" w:rsidTr="00140119">
        <w:trPr>
          <w:trHeight w:val="402"/>
          <w:jc w:val="center"/>
        </w:trPr>
        <w:tc>
          <w:tcPr>
            <w:tcW w:w="1552" w:type="dxa"/>
            <w:vAlign w:val="center"/>
          </w:tcPr>
          <w:p w14:paraId="5DCF826D" w14:textId="311B620E" w:rsidR="00D45BC7" w:rsidRPr="00882D2B" w:rsidRDefault="00D45BC7" w:rsidP="00FE1123">
            <w:pPr>
              <w:spacing w:before="120" w:after="120"/>
              <w:jc w:val="center"/>
              <w:rPr>
                <w:rFonts w:ascii="Arial" w:hAnsi="Arial" w:cs="Arial"/>
                <w:b/>
                <w:bCs/>
                <w:sz w:val="16"/>
                <w:szCs w:val="16"/>
                <w:lang w:val="en-IE"/>
              </w:rPr>
            </w:pPr>
            <w:r w:rsidRPr="00882D2B">
              <w:rPr>
                <w:rFonts w:ascii="Arial" w:hAnsi="Arial" w:cs="Arial"/>
                <w:b/>
                <w:bCs/>
                <w:sz w:val="16"/>
                <w:szCs w:val="16"/>
                <w:lang w:val="en-IE"/>
              </w:rPr>
              <w:t xml:space="preserve">Real-time </w:t>
            </w:r>
            <w:r w:rsidRPr="00882D2B">
              <w:rPr>
                <w:rFonts w:ascii="Arial" w:hAnsi="Arial" w:cs="Arial"/>
                <w:b/>
                <w:bCs/>
                <w:sz w:val="16"/>
                <w:szCs w:val="16"/>
                <w:lang w:val="en-IE"/>
              </w:rPr>
              <w:br/>
            </w:r>
            <w:r w:rsidR="00730C6A" w:rsidRPr="00236FA9">
              <w:rPr>
                <w:rFonts w:ascii="Arial" w:hAnsi="Arial" w:cs="Arial"/>
                <w:b/>
                <w:bCs/>
                <w:sz w:val="16"/>
                <w:szCs w:val="16"/>
                <w:lang w:val="en-IE"/>
              </w:rPr>
              <w:t>PCR</w:t>
            </w:r>
            <w:r w:rsidR="00061939">
              <w:rPr>
                <w:rFonts w:ascii="Arial" w:hAnsi="Arial" w:cs="Arial"/>
                <w:b/>
                <w:bCs/>
                <w:sz w:val="16"/>
                <w:szCs w:val="16"/>
                <w:lang w:val="en-IE"/>
              </w:rPr>
              <w:t xml:space="preserve"> (direct from specimens)</w:t>
            </w:r>
          </w:p>
        </w:tc>
        <w:tc>
          <w:tcPr>
            <w:tcW w:w="1134" w:type="dxa"/>
            <w:vAlign w:val="center"/>
          </w:tcPr>
          <w:p w14:paraId="7CCB7F2A" w14:textId="77777777" w:rsidR="00D45BC7" w:rsidRPr="006B263A" w:rsidRDefault="00D45BC7" w:rsidP="00FE1123">
            <w:pPr>
              <w:pStyle w:val="Tabletext"/>
              <w:rPr>
                <w:sz w:val="16"/>
                <w:szCs w:val="16"/>
                <w:lang w:eastAsia="en-GB"/>
              </w:rPr>
            </w:pPr>
            <w:r w:rsidRPr="006B263A">
              <w:rPr>
                <w:sz w:val="16"/>
                <w:szCs w:val="16"/>
              </w:rPr>
              <w:t>++</w:t>
            </w:r>
          </w:p>
        </w:tc>
        <w:tc>
          <w:tcPr>
            <w:tcW w:w="1418" w:type="dxa"/>
            <w:vAlign w:val="center"/>
          </w:tcPr>
          <w:p w14:paraId="25DA59DB" w14:textId="77777777" w:rsidR="00D45BC7" w:rsidRPr="006B263A" w:rsidRDefault="00D45BC7" w:rsidP="00FE1123">
            <w:pPr>
              <w:pStyle w:val="Tabletext"/>
              <w:rPr>
                <w:sz w:val="16"/>
                <w:szCs w:val="16"/>
                <w:lang w:eastAsia="en-GB"/>
              </w:rPr>
            </w:pPr>
            <w:r w:rsidRPr="006B263A">
              <w:rPr>
                <w:sz w:val="16"/>
                <w:szCs w:val="16"/>
              </w:rPr>
              <w:t>–</w:t>
            </w:r>
          </w:p>
        </w:tc>
        <w:tc>
          <w:tcPr>
            <w:tcW w:w="1275" w:type="dxa"/>
            <w:vAlign w:val="center"/>
          </w:tcPr>
          <w:p w14:paraId="44B5FA1B" w14:textId="77777777" w:rsidR="00D45BC7" w:rsidRPr="006B263A" w:rsidRDefault="00D45BC7" w:rsidP="00FE1123">
            <w:pPr>
              <w:pStyle w:val="Tabletext"/>
              <w:rPr>
                <w:sz w:val="16"/>
                <w:szCs w:val="16"/>
                <w:lang w:eastAsia="en-GB"/>
              </w:rPr>
            </w:pPr>
            <w:r w:rsidRPr="006B263A">
              <w:rPr>
                <w:sz w:val="16"/>
                <w:szCs w:val="16"/>
              </w:rPr>
              <w:t>++</w:t>
            </w:r>
          </w:p>
        </w:tc>
        <w:tc>
          <w:tcPr>
            <w:tcW w:w="1134" w:type="dxa"/>
            <w:vAlign w:val="center"/>
          </w:tcPr>
          <w:p w14:paraId="1448A598" w14:textId="7B5D31E1" w:rsidR="00D45BC7" w:rsidRPr="006B263A" w:rsidRDefault="00D45BC7" w:rsidP="00FE1123">
            <w:pPr>
              <w:pStyle w:val="Tabletext"/>
              <w:rPr>
                <w:sz w:val="16"/>
                <w:szCs w:val="16"/>
                <w:lang w:eastAsia="en-GB"/>
              </w:rPr>
            </w:pPr>
            <w:r w:rsidRPr="006B263A">
              <w:rPr>
                <w:sz w:val="16"/>
                <w:szCs w:val="16"/>
              </w:rPr>
              <w:t>++</w:t>
            </w:r>
            <w:r w:rsidR="00AD6147">
              <w:rPr>
                <w:sz w:val="16"/>
                <w:szCs w:val="16"/>
              </w:rPr>
              <w:t>+</w:t>
            </w:r>
          </w:p>
        </w:tc>
        <w:tc>
          <w:tcPr>
            <w:tcW w:w="1134" w:type="dxa"/>
            <w:vAlign w:val="center"/>
          </w:tcPr>
          <w:p w14:paraId="42056C25" w14:textId="77777777" w:rsidR="00D45BC7" w:rsidRPr="006B263A" w:rsidRDefault="00D45BC7" w:rsidP="00FE1123">
            <w:pPr>
              <w:pStyle w:val="Tabletext"/>
              <w:rPr>
                <w:sz w:val="16"/>
                <w:szCs w:val="16"/>
                <w:lang w:eastAsia="en-GB"/>
              </w:rPr>
            </w:pPr>
            <w:r w:rsidRPr="006B263A">
              <w:rPr>
                <w:sz w:val="16"/>
                <w:szCs w:val="16"/>
              </w:rPr>
              <w:t>++</w:t>
            </w:r>
          </w:p>
        </w:tc>
        <w:tc>
          <w:tcPr>
            <w:tcW w:w="1693" w:type="dxa"/>
            <w:vAlign w:val="center"/>
          </w:tcPr>
          <w:p w14:paraId="65129C8F" w14:textId="77777777" w:rsidR="00D45BC7" w:rsidRPr="006B263A" w:rsidRDefault="00D45BC7" w:rsidP="00FE1123">
            <w:pPr>
              <w:pStyle w:val="Tabletext"/>
              <w:rPr>
                <w:sz w:val="16"/>
                <w:szCs w:val="16"/>
                <w:lang w:eastAsia="en-GB"/>
              </w:rPr>
            </w:pPr>
            <w:r w:rsidRPr="006B263A">
              <w:rPr>
                <w:sz w:val="16"/>
                <w:szCs w:val="16"/>
              </w:rPr>
              <w:t>–</w:t>
            </w:r>
          </w:p>
        </w:tc>
      </w:tr>
      <w:tr w:rsidR="00D45BC7" w:rsidRPr="00882D2B" w14:paraId="5C1AE53B" w14:textId="77777777" w:rsidTr="00140119">
        <w:trPr>
          <w:trHeight w:val="402"/>
          <w:jc w:val="center"/>
        </w:trPr>
        <w:tc>
          <w:tcPr>
            <w:tcW w:w="9340" w:type="dxa"/>
            <w:gridSpan w:val="7"/>
            <w:shd w:val="pct10" w:color="auto" w:fill="auto"/>
            <w:vAlign w:val="center"/>
          </w:tcPr>
          <w:p w14:paraId="0BEB474C" w14:textId="77777777" w:rsidR="00D45BC7" w:rsidRPr="00882D2B" w:rsidRDefault="00D45BC7" w:rsidP="00FE1123">
            <w:pPr>
              <w:pStyle w:val="Tabletext"/>
              <w:rPr>
                <w:lang w:eastAsia="en-GB"/>
              </w:rPr>
            </w:pPr>
            <w:r w:rsidRPr="00882D2B">
              <w:rPr>
                <w:b/>
                <w:bCs/>
                <w:sz w:val="16"/>
                <w:szCs w:val="16"/>
                <w:lang w:eastAsia="en-GB"/>
              </w:rPr>
              <w:t>Detection of immune response</w:t>
            </w:r>
          </w:p>
        </w:tc>
      </w:tr>
      <w:tr w:rsidR="00D45BC7" w:rsidRPr="00882D2B" w14:paraId="482DC81B" w14:textId="77777777" w:rsidTr="00140119">
        <w:trPr>
          <w:trHeight w:val="402"/>
          <w:jc w:val="center"/>
        </w:trPr>
        <w:tc>
          <w:tcPr>
            <w:tcW w:w="1552" w:type="dxa"/>
            <w:vAlign w:val="center"/>
          </w:tcPr>
          <w:p w14:paraId="0ED8F23C" w14:textId="6D00C04E" w:rsidR="00D45BC7" w:rsidRPr="00882D2B" w:rsidRDefault="00D45BC7" w:rsidP="00FE1123">
            <w:pPr>
              <w:spacing w:before="120" w:after="120"/>
              <w:jc w:val="center"/>
              <w:rPr>
                <w:rFonts w:ascii="Arial" w:hAnsi="Arial" w:cs="Arial"/>
                <w:b/>
                <w:bCs/>
                <w:sz w:val="16"/>
                <w:szCs w:val="16"/>
                <w:lang w:val="en-IE"/>
              </w:rPr>
            </w:pPr>
            <w:r w:rsidRPr="00882D2B">
              <w:rPr>
                <w:rFonts w:ascii="Arial" w:hAnsi="Arial" w:cs="Arial"/>
                <w:b/>
                <w:bCs/>
                <w:sz w:val="16"/>
                <w:szCs w:val="16"/>
                <w:lang w:val="en-IE"/>
              </w:rPr>
              <w:t xml:space="preserve">Delayed hypersensitivity skin test </w:t>
            </w:r>
          </w:p>
        </w:tc>
        <w:tc>
          <w:tcPr>
            <w:tcW w:w="1134" w:type="dxa"/>
            <w:vAlign w:val="center"/>
          </w:tcPr>
          <w:p w14:paraId="33D1AD8E" w14:textId="4CEAFDC0" w:rsidR="00E15F39" w:rsidRPr="00055A8D" w:rsidRDefault="00D45BC7" w:rsidP="00E12CA0">
            <w:pPr>
              <w:pStyle w:val="Tabletext"/>
              <w:rPr>
                <w:sz w:val="16"/>
                <w:szCs w:val="16"/>
                <w:lang w:eastAsia="en-GB"/>
              </w:rPr>
            </w:pPr>
            <w:r w:rsidRPr="00055A8D">
              <w:rPr>
                <w:sz w:val="16"/>
                <w:szCs w:val="16"/>
                <w:lang w:eastAsia="en-GB"/>
              </w:rPr>
              <w:t>++</w:t>
            </w:r>
            <w:r w:rsidR="00055A8D" w:rsidRPr="00055A8D">
              <w:rPr>
                <w:sz w:val="16"/>
                <w:szCs w:val="16"/>
                <w:lang w:eastAsia="en-GB"/>
              </w:rPr>
              <w:t>+</w:t>
            </w:r>
            <w:r w:rsidR="00E12CA0">
              <w:rPr>
                <w:sz w:val="16"/>
                <w:szCs w:val="16"/>
                <w:lang w:eastAsia="en-GB"/>
              </w:rPr>
              <w:br/>
            </w:r>
            <w:r w:rsidR="00E15F39" w:rsidRPr="00E12CA0">
              <w:rPr>
                <w:sz w:val="16"/>
                <w:szCs w:val="16"/>
                <w:highlight w:val="yellow"/>
                <w:u w:val="double"/>
                <w:lang w:eastAsia="en-GB"/>
              </w:rPr>
              <w:t>(</w:t>
            </w:r>
            <w:r w:rsidR="00E15F39" w:rsidRPr="00E12CA0">
              <w:rPr>
                <w:b/>
                <w:bCs/>
                <w:color w:val="FF0000"/>
                <w:sz w:val="16"/>
                <w:szCs w:val="16"/>
                <w:highlight w:val="yellow"/>
                <w:u w:val="double"/>
                <w:lang w:eastAsia="en-GB"/>
              </w:rPr>
              <w:t>+++</w:t>
            </w:r>
            <w:r w:rsidR="00E15F39" w:rsidRPr="00E12CA0">
              <w:rPr>
                <w:sz w:val="16"/>
                <w:szCs w:val="16"/>
                <w:highlight w:val="yellow"/>
                <w:u w:val="double"/>
                <w:lang w:eastAsia="en-GB"/>
              </w:rPr>
              <w:t xml:space="preserve"> / </w:t>
            </w:r>
            <w:r w:rsidR="00E15F39" w:rsidRPr="00E12CA0">
              <w:rPr>
                <w:b/>
                <w:bCs/>
                <w:color w:val="0070C0"/>
                <w:sz w:val="16"/>
                <w:szCs w:val="16"/>
                <w:highlight w:val="yellow"/>
                <w:u w:val="double"/>
                <w:lang w:eastAsia="en-GB"/>
              </w:rPr>
              <w:t>+</w:t>
            </w:r>
            <w:r w:rsidR="00E15F39" w:rsidRPr="00E12CA0">
              <w:rPr>
                <w:sz w:val="16"/>
                <w:szCs w:val="16"/>
                <w:highlight w:val="yellow"/>
                <w:u w:val="double"/>
                <w:lang w:eastAsia="en-GB"/>
              </w:rPr>
              <w:t>)</w:t>
            </w:r>
          </w:p>
        </w:tc>
        <w:tc>
          <w:tcPr>
            <w:tcW w:w="1418" w:type="dxa"/>
            <w:vAlign w:val="center"/>
          </w:tcPr>
          <w:p w14:paraId="17611229" w14:textId="4BCDF605" w:rsidR="00D45BC7" w:rsidRPr="00055A8D" w:rsidRDefault="00D45BC7" w:rsidP="00140119">
            <w:pPr>
              <w:pStyle w:val="Tabletext"/>
              <w:rPr>
                <w:sz w:val="16"/>
                <w:szCs w:val="16"/>
                <w:lang w:eastAsia="en-GB"/>
              </w:rPr>
            </w:pPr>
            <w:r w:rsidRPr="00055A8D">
              <w:rPr>
                <w:sz w:val="16"/>
                <w:szCs w:val="16"/>
                <w:lang w:eastAsia="en-GB"/>
              </w:rPr>
              <w:t>++</w:t>
            </w:r>
            <w:r w:rsidR="00055A8D" w:rsidRPr="00055A8D">
              <w:rPr>
                <w:sz w:val="16"/>
                <w:szCs w:val="16"/>
                <w:lang w:eastAsia="en-GB"/>
              </w:rPr>
              <w:t>+</w:t>
            </w:r>
            <w:r w:rsidR="00140119" w:rsidRPr="00055A8D">
              <w:rPr>
                <w:sz w:val="16"/>
                <w:szCs w:val="16"/>
                <w:lang w:eastAsia="en-GB"/>
              </w:rPr>
              <w:br/>
            </w:r>
            <w:r w:rsidRPr="00055A8D">
              <w:rPr>
                <w:sz w:val="16"/>
                <w:szCs w:val="16"/>
                <w:lang w:eastAsia="en-GB"/>
              </w:rPr>
              <w:t>(</w:t>
            </w:r>
            <w:r w:rsidRPr="00E12CA0">
              <w:rPr>
                <w:b/>
                <w:bCs/>
                <w:color w:val="FF0000"/>
                <w:sz w:val="16"/>
                <w:szCs w:val="16"/>
                <w:lang w:eastAsia="en-GB"/>
              </w:rPr>
              <w:t>+</w:t>
            </w:r>
            <w:r w:rsidR="005445BF" w:rsidRPr="00E12CA0">
              <w:rPr>
                <w:b/>
                <w:bCs/>
                <w:color w:val="FF0000"/>
                <w:sz w:val="16"/>
                <w:szCs w:val="16"/>
                <w:highlight w:val="yellow"/>
                <w:u w:val="double"/>
                <w:lang w:eastAsia="en-GB"/>
              </w:rPr>
              <w:t>+</w:t>
            </w:r>
            <w:r w:rsidRPr="00055A8D">
              <w:rPr>
                <w:sz w:val="16"/>
                <w:szCs w:val="16"/>
                <w:lang w:eastAsia="en-GB"/>
              </w:rPr>
              <w:t xml:space="preserve"> / </w:t>
            </w:r>
            <w:r w:rsidRPr="00055A8D">
              <w:rPr>
                <w:b/>
                <w:bCs/>
                <w:color w:val="0070C0"/>
                <w:sz w:val="16"/>
                <w:szCs w:val="16"/>
                <w:lang w:eastAsia="en-GB"/>
              </w:rPr>
              <w:t>+</w:t>
            </w:r>
            <w:r w:rsidRPr="00055A8D">
              <w:rPr>
                <w:sz w:val="16"/>
                <w:szCs w:val="16"/>
                <w:lang w:eastAsia="en-GB"/>
              </w:rPr>
              <w:t>)</w:t>
            </w:r>
          </w:p>
        </w:tc>
        <w:tc>
          <w:tcPr>
            <w:tcW w:w="1275" w:type="dxa"/>
            <w:vAlign w:val="center"/>
          </w:tcPr>
          <w:p w14:paraId="30FA82E2" w14:textId="135E8BFE" w:rsidR="00D45BC7" w:rsidRPr="00055A8D" w:rsidRDefault="00D45BC7" w:rsidP="00140119">
            <w:pPr>
              <w:pStyle w:val="Tabletext"/>
              <w:rPr>
                <w:sz w:val="16"/>
                <w:szCs w:val="16"/>
                <w:lang w:eastAsia="en-GB"/>
              </w:rPr>
            </w:pPr>
            <w:r w:rsidRPr="00055A8D">
              <w:rPr>
                <w:sz w:val="16"/>
                <w:szCs w:val="16"/>
                <w:lang w:eastAsia="en-GB"/>
              </w:rPr>
              <w:t>+++</w:t>
            </w:r>
            <w:r w:rsidR="00140119" w:rsidRPr="00055A8D">
              <w:rPr>
                <w:sz w:val="16"/>
                <w:szCs w:val="16"/>
                <w:lang w:eastAsia="en-GB"/>
              </w:rPr>
              <w:br/>
            </w:r>
            <w:r w:rsidRPr="00055A8D">
              <w:rPr>
                <w:sz w:val="16"/>
                <w:szCs w:val="16"/>
                <w:lang w:eastAsia="en-GB"/>
              </w:rPr>
              <w:t>(</w:t>
            </w:r>
            <w:r w:rsidRPr="00055A8D">
              <w:rPr>
                <w:b/>
                <w:bCs/>
                <w:color w:val="FF0000"/>
                <w:sz w:val="16"/>
                <w:szCs w:val="16"/>
                <w:lang w:eastAsia="en-GB"/>
              </w:rPr>
              <w:t>++</w:t>
            </w:r>
            <w:r w:rsidRPr="00055A8D">
              <w:rPr>
                <w:sz w:val="16"/>
                <w:szCs w:val="16"/>
                <w:lang w:eastAsia="en-GB"/>
              </w:rPr>
              <w:t xml:space="preserve"> / </w:t>
            </w:r>
            <w:r w:rsidRPr="00E12CA0">
              <w:rPr>
                <w:b/>
                <w:bCs/>
                <w:color w:val="0070C0"/>
                <w:sz w:val="16"/>
                <w:szCs w:val="16"/>
                <w:lang w:eastAsia="en-GB"/>
              </w:rPr>
              <w:t>+</w:t>
            </w:r>
            <w:r w:rsidR="00E12CA0">
              <w:rPr>
                <w:b/>
                <w:bCs/>
                <w:color w:val="0070C0"/>
                <w:sz w:val="16"/>
                <w:szCs w:val="16"/>
                <w:lang w:eastAsia="en-GB"/>
              </w:rPr>
              <w:t xml:space="preserve"> </w:t>
            </w:r>
            <w:r w:rsidRPr="00E12CA0">
              <w:rPr>
                <w:b/>
                <w:bCs/>
                <w:strike/>
                <w:color w:val="0070C0"/>
                <w:sz w:val="16"/>
                <w:szCs w:val="16"/>
                <w:highlight w:val="yellow"/>
                <w:lang w:eastAsia="en-GB"/>
              </w:rPr>
              <w:t>+</w:t>
            </w:r>
            <w:r w:rsidRPr="00055A8D">
              <w:rPr>
                <w:sz w:val="16"/>
                <w:szCs w:val="16"/>
                <w:lang w:eastAsia="en-GB"/>
              </w:rPr>
              <w:t>)</w:t>
            </w:r>
          </w:p>
        </w:tc>
        <w:tc>
          <w:tcPr>
            <w:tcW w:w="1134" w:type="dxa"/>
            <w:vAlign w:val="center"/>
          </w:tcPr>
          <w:p w14:paraId="157BE1FC" w14:textId="49E0F410" w:rsidR="00D45BC7" w:rsidRPr="00055A8D" w:rsidRDefault="00785685" w:rsidP="00FE1123">
            <w:pPr>
              <w:pStyle w:val="Tabletext"/>
              <w:rPr>
                <w:sz w:val="16"/>
                <w:szCs w:val="16"/>
                <w:lang w:eastAsia="en-GB"/>
              </w:rPr>
            </w:pPr>
            <w:r>
              <w:rPr>
                <w:sz w:val="16"/>
                <w:szCs w:val="16"/>
                <w:lang w:eastAsia="en-GB"/>
              </w:rPr>
              <w:t>++</w:t>
            </w:r>
          </w:p>
        </w:tc>
        <w:tc>
          <w:tcPr>
            <w:tcW w:w="1134" w:type="dxa"/>
            <w:vAlign w:val="center"/>
          </w:tcPr>
          <w:p w14:paraId="306FCDAF" w14:textId="48AC38F4" w:rsidR="00D45BC7" w:rsidRPr="00055A8D" w:rsidRDefault="00D45BC7" w:rsidP="00140119">
            <w:pPr>
              <w:pStyle w:val="Tabletext"/>
              <w:rPr>
                <w:sz w:val="16"/>
                <w:szCs w:val="16"/>
                <w:lang w:eastAsia="en-GB"/>
              </w:rPr>
            </w:pPr>
            <w:r w:rsidRPr="00055A8D">
              <w:rPr>
                <w:sz w:val="16"/>
                <w:szCs w:val="16"/>
                <w:lang w:eastAsia="en-GB"/>
              </w:rPr>
              <w:t>+++</w:t>
            </w:r>
            <w:r w:rsidR="00140119" w:rsidRPr="00055A8D">
              <w:rPr>
                <w:sz w:val="16"/>
                <w:szCs w:val="16"/>
                <w:lang w:eastAsia="en-GB"/>
              </w:rPr>
              <w:br/>
            </w:r>
            <w:r w:rsidRPr="00055A8D">
              <w:rPr>
                <w:sz w:val="16"/>
                <w:szCs w:val="16"/>
                <w:lang w:eastAsia="en-GB"/>
              </w:rPr>
              <w:t>(</w:t>
            </w:r>
            <w:r w:rsidRPr="00055A8D">
              <w:rPr>
                <w:b/>
                <w:bCs/>
                <w:color w:val="FF0000"/>
                <w:sz w:val="16"/>
                <w:szCs w:val="16"/>
                <w:lang w:eastAsia="en-GB"/>
              </w:rPr>
              <w:t>++</w:t>
            </w:r>
            <w:r w:rsidRPr="00055A8D">
              <w:rPr>
                <w:sz w:val="16"/>
                <w:szCs w:val="16"/>
                <w:lang w:eastAsia="en-GB"/>
              </w:rPr>
              <w:t xml:space="preserve"> / </w:t>
            </w:r>
            <w:r w:rsidR="00E12CA0" w:rsidRPr="00E12CA0">
              <w:rPr>
                <w:b/>
                <w:bCs/>
                <w:color w:val="0070C0"/>
                <w:sz w:val="16"/>
                <w:szCs w:val="16"/>
                <w:lang w:eastAsia="en-GB"/>
              </w:rPr>
              <w:t>+</w:t>
            </w:r>
            <w:r w:rsidR="00E12CA0">
              <w:rPr>
                <w:b/>
                <w:bCs/>
                <w:color w:val="0070C0"/>
                <w:sz w:val="16"/>
                <w:szCs w:val="16"/>
                <w:lang w:eastAsia="en-GB"/>
              </w:rPr>
              <w:t xml:space="preserve"> </w:t>
            </w:r>
            <w:r w:rsidR="00E12CA0" w:rsidRPr="00E12CA0">
              <w:rPr>
                <w:b/>
                <w:bCs/>
                <w:strike/>
                <w:color w:val="0070C0"/>
                <w:sz w:val="16"/>
                <w:szCs w:val="16"/>
                <w:highlight w:val="yellow"/>
                <w:lang w:eastAsia="en-GB"/>
              </w:rPr>
              <w:t>+</w:t>
            </w:r>
            <w:r w:rsidRPr="00055A8D">
              <w:rPr>
                <w:sz w:val="16"/>
                <w:szCs w:val="16"/>
                <w:lang w:eastAsia="en-GB"/>
              </w:rPr>
              <w:t>)</w:t>
            </w:r>
          </w:p>
        </w:tc>
        <w:tc>
          <w:tcPr>
            <w:tcW w:w="1693" w:type="dxa"/>
            <w:vAlign w:val="center"/>
          </w:tcPr>
          <w:p w14:paraId="4C327E8D" w14:textId="77777777" w:rsidR="00D45BC7" w:rsidRPr="00055A8D" w:rsidRDefault="00D45BC7" w:rsidP="00FE1123">
            <w:pPr>
              <w:pStyle w:val="Tabletext"/>
              <w:rPr>
                <w:sz w:val="16"/>
                <w:szCs w:val="16"/>
                <w:lang w:eastAsia="en-GB"/>
              </w:rPr>
            </w:pPr>
            <w:r w:rsidRPr="00055A8D">
              <w:rPr>
                <w:sz w:val="16"/>
                <w:szCs w:val="16"/>
              </w:rPr>
              <w:t>–</w:t>
            </w:r>
          </w:p>
        </w:tc>
      </w:tr>
      <w:tr w:rsidR="00D45BC7" w:rsidRPr="00882D2B" w14:paraId="0BD55FBD" w14:textId="77777777" w:rsidTr="00140119">
        <w:trPr>
          <w:trHeight w:val="402"/>
          <w:jc w:val="center"/>
        </w:trPr>
        <w:tc>
          <w:tcPr>
            <w:tcW w:w="1552" w:type="dxa"/>
            <w:vAlign w:val="center"/>
          </w:tcPr>
          <w:p w14:paraId="1F628854" w14:textId="20CD70C8" w:rsidR="00D45BC7" w:rsidRPr="00882D2B" w:rsidRDefault="00E96642" w:rsidP="00FE1123">
            <w:pPr>
              <w:spacing w:before="120" w:after="120"/>
              <w:jc w:val="center"/>
              <w:rPr>
                <w:rFonts w:ascii="Arial" w:hAnsi="Arial" w:cs="Arial"/>
                <w:b/>
                <w:bCs/>
                <w:sz w:val="16"/>
                <w:szCs w:val="16"/>
                <w:lang w:val="en-IE"/>
              </w:rPr>
            </w:pPr>
            <w:r>
              <w:rPr>
                <w:rFonts w:ascii="Arial" w:hAnsi="Arial" w:cs="Arial"/>
                <w:b/>
                <w:bCs/>
                <w:sz w:val="16"/>
                <w:szCs w:val="16"/>
                <w:lang w:val="en-IE"/>
              </w:rPr>
              <w:t>IGRA</w:t>
            </w:r>
            <w:r w:rsidR="00D45BC7" w:rsidRPr="00882D2B">
              <w:rPr>
                <w:rFonts w:ascii="Arial" w:hAnsi="Arial" w:cs="Arial"/>
                <w:b/>
                <w:bCs/>
                <w:sz w:val="16"/>
                <w:szCs w:val="16"/>
                <w:lang w:val="en-IE"/>
              </w:rPr>
              <w:t xml:space="preserve"> </w:t>
            </w:r>
          </w:p>
        </w:tc>
        <w:tc>
          <w:tcPr>
            <w:tcW w:w="1134" w:type="dxa"/>
            <w:vAlign w:val="center"/>
          </w:tcPr>
          <w:p w14:paraId="141BF3FA" w14:textId="09D3BCE5" w:rsidR="00D45BC7" w:rsidRPr="00055A8D" w:rsidRDefault="00D45BC7" w:rsidP="00140119">
            <w:pPr>
              <w:pStyle w:val="Tabletext"/>
              <w:rPr>
                <w:sz w:val="16"/>
                <w:szCs w:val="16"/>
                <w:lang w:eastAsia="en-GB"/>
              </w:rPr>
            </w:pPr>
            <w:r w:rsidRPr="00055A8D">
              <w:rPr>
                <w:sz w:val="16"/>
                <w:szCs w:val="16"/>
                <w:lang w:eastAsia="en-GB"/>
              </w:rPr>
              <w:t>++</w:t>
            </w:r>
            <w:r w:rsidR="00140119" w:rsidRPr="00055A8D">
              <w:rPr>
                <w:sz w:val="16"/>
                <w:szCs w:val="16"/>
                <w:lang w:eastAsia="en-GB"/>
              </w:rPr>
              <w:br/>
            </w:r>
            <w:r w:rsidRPr="00055A8D">
              <w:rPr>
                <w:sz w:val="16"/>
                <w:szCs w:val="16"/>
                <w:lang w:eastAsia="en-GB"/>
              </w:rPr>
              <w:t>(</w:t>
            </w:r>
            <w:r w:rsidRPr="00055A8D">
              <w:rPr>
                <w:b/>
                <w:bCs/>
                <w:color w:val="FF0000"/>
                <w:sz w:val="16"/>
                <w:szCs w:val="16"/>
                <w:lang w:eastAsia="en-GB"/>
              </w:rPr>
              <w:t>++</w:t>
            </w:r>
            <w:r w:rsidRPr="00055A8D">
              <w:rPr>
                <w:sz w:val="16"/>
                <w:szCs w:val="16"/>
                <w:lang w:eastAsia="en-GB"/>
              </w:rPr>
              <w:t xml:space="preserve"> / </w:t>
            </w:r>
            <w:r w:rsidRPr="00055A8D">
              <w:rPr>
                <w:b/>
                <w:bCs/>
                <w:color w:val="0070C0"/>
                <w:sz w:val="16"/>
                <w:szCs w:val="16"/>
                <w:lang w:eastAsia="en-GB"/>
              </w:rPr>
              <w:t>+</w:t>
            </w:r>
            <w:r w:rsidRPr="00055A8D">
              <w:rPr>
                <w:sz w:val="16"/>
                <w:szCs w:val="16"/>
                <w:lang w:eastAsia="en-GB"/>
              </w:rPr>
              <w:t>)</w:t>
            </w:r>
          </w:p>
        </w:tc>
        <w:tc>
          <w:tcPr>
            <w:tcW w:w="1418" w:type="dxa"/>
            <w:vAlign w:val="center"/>
          </w:tcPr>
          <w:p w14:paraId="27EC0206" w14:textId="1B75054F" w:rsidR="00D45BC7" w:rsidRPr="00055A8D" w:rsidRDefault="00D45BC7" w:rsidP="00140119">
            <w:pPr>
              <w:pStyle w:val="Tabletext"/>
              <w:rPr>
                <w:sz w:val="16"/>
                <w:szCs w:val="16"/>
                <w:lang w:eastAsia="en-GB"/>
              </w:rPr>
            </w:pPr>
            <w:r w:rsidRPr="00055A8D">
              <w:rPr>
                <w:sz w:val="16"/>
                <w:szCs w:val="16"/>
                <w:lang w:eastAsia="en-GB"/>
              </w:rPr>
              <w:t>++</w:t>
            </w:r>
            <w:r w:rsidR="00140119" w:rsidRPr="00055A8D">
              <w:rPr>
                <w:sz w:val="16"/>
                <w:szCs w:val="16"/>
                <w:lang w:eastAsia="en-GB"/>
              </w:rPr>
              <w:br/>
            </w:r>
            <w:r w:rsidRPr="00055A8D">
              <w:rPr>
                <w:sz w:val="16"/>
                <w:szCs w:val="16"/>
                <w:lang w:eastAsia="en-GB"/>
              </w:rPr>
              <w:t>(</w:t>
            </w:r>
            <w:r w:rsidRPr="00055A8D">
              <w:rPr>
                <w:b/>
                <w:bCs/>
                <w:color w:val="FF0000"/>
                <w:sz w:val="16"/>
                <w:szCs w:val="16"/>
                <w:lang w:eastAsia="en-GB"/>
              </w:rPr>
              <w:t xml:space="preserve">+ </w:t>
            </w:r>
            <w:r w:rsidRPr="00055A8D">
              <w:rPr>
                <w:sz w:val="16"/>
                <w:szCs w:val="16"/>
                <w:lang w:eastAsia="en-GB"/>
              </w:rPr>
              <w:t xml:space="preserve">/ </w:t>
            </w:r>
            <w:r w:rsidRPr="00055A8D">
              <w:rPr>
                <w:b/>
                <w:bCs/>
                <w:color w:val="0070C0"/>
                <w:sz w:val="16"/>
                <w:szCs w:val="16"/>
                <w:lang w:eastAsia="en-GB"/>
              </w:rPr>
              <w:t>+</w:t>
            </w:r>
            <w:r w:rsidRPr="00055A8D">
              <w:rPr>
                <w:sz w:val="16"/>
                <w:szCs w:val="16"/>
                <w:lang w:eastAsia="en-GB"/>
              </w:rPr>
              <w:t>)</w:t>
            </w:r>
          </w:p>
        </w:tc>
        <w:tc>
          <w:tcPr>
            <w:tcW w:w="1275" w:type="dxa"/>
            <w:vAlign w:val="center"/>
          </w:tcPr>
          <w:p w14:paraId="0C06727E" w14:textId="20C0FC24" w:rsidR="00D45BC7" w:rsidRPr="00055A8D" w:rsidRDefault="00D45BC7" w:rsidP="00140119">
            <w:pPr>
              <w:pStyle w:val="Tabletext"/>
              <w:rPr>
                <w:sz w:val="16"/>
                <w:szCs w:val="16"/>
                <w:lang w:eastAsia="en-GB"/>
              </w:rPr>
            </w:pPr>
            <w:r w:rsidRPr="00055A8D">
              <w:rPr>
                <w:sz w:val="16"/>
                <w:szCs w:val="16"/>
                <w:lang w:eastAsia="en-GB"/>
              </w:rPr>
              <w:t>+++</w:t>
            </w:r>
            <w:r w:rsidR="00140119" w:rsidRPr="00055A8D">
              <w:rPr>
                <w:sz w:val="16"/>
                <w:szCs w:val="16"/>
                <w:lang w:eastAsia="en-GB"/>
              </w:rPr>
              <w:br/>
            </w:r>
            <w:r w:rsidRPr="00055A8D">
              <w:rPr>
                <w:sz w:val="16"/>
                <w:szCs w:val="16"/>
                <w:lang w:eastAsia="en-GB"/>
              </w:rPr>
              <w:t>(</w:t>
            </w:r>
            <w:r w:rsidRPr="00055A8D">
              <w:rPr>
                <w:b/>
                <w:bCs/>
                <w:color w:val="FF0000"/>
                <w:sz w:val="16"/>
                <w:szCs w:val="16"/>
                <w:lang w:eastAsia="en-GB"/>
              </w:rPr>
              <w:t>++</w:t>
            </w:r>
            <w:r w:rsidRPr="00055A8D">
              <w:rPr>
                <w:sz w:val="16"/>
                <w:szCs w:val="16"/>
                <w:lang w:eastAsia="en-GB"/>
              </w:rPr>
              <w:t xml:space="preserve"> / </w:t>
            </w:r>
            <w:r w:rsidRPr="00055A8D">
              <w:rPr>
                <w:b/>
                <w:bCs/>
                <w:color w:val="0070C0"/>
                <w:sz w:val="16"/>
                <w:szCs w:val="16"/>
                <w:lang w:eastAsia="en-GB"/>
              </w:rPr>
              <w:t>+</w:t>
            </w:r>
            <w:r w:rsidRPr="00055A8D">
              <w:rPr>
                <w:sz w:val="16"/>
                <w:szCs w:val="16"/>
                <w:lang w:eastAsia="en-GB"/>
              </w:rPr>
              <w:t>)</w:t>
            </w:r>
          </w:p>
        </w:tc>
        <w:tc>
          <w:tcPr>
            <w:tcW w:w="1134" w:type="dxa"/>
            <w:vAlign w:val="center"/>
          </w:tcPr>
          <w:p w14:paraId="697C2E2D" w14:textId="4E8B45B5" w:rsidR="00D45BC7" w:rsidRPr="00055A8D" w:rsidRDefault="00D45BC7" w:rsidP="00140119">
            <w:pPr>
              <w:pStyle w:val="Tabletext"/>
              <w:rPr>
                <w:sz w:val="16"/>
                <w:szCs w:val="16"/>
                <w:lang w:eastAsia="en-GB"/>
              </w:rPr>
            </w:pPr>
            <w:r w:rsidRPr="00055A8D">
              <w:rPr>
                <w:sz w:val="16"/>
                <w:szCs w:val="16"/>
                <w:lang w:eastAsia="en-GB"/>
              </w:rPr>
              <w:t>+</w:t>
            </w:r>
            <w:r w:rsidR="00140119" w:rsidRPr="00055A8D">
              <w:rPr>
                <w:sz w:val="16"/>
                <w:szCs w:val="16"/>
                <w:lang w:eastAsia="en-GB"/>
              </w:rPr>
              <w:br/>
            </w:r>
            <w:r w:rsidRPr="00055A8D">
              <w:rPr>
                <w:sz w:val="16"/>
                <w:szCs w:val="16"/>
                <w:lang w:eastAsia="en-GB"/>
              </w:rPr>
              <w:t>(</w:t>
            </w:r>
            <w:r w:rsidR="00055A8D" w:rsidRPr="00055A8D">
              <w:rPr>
                <w:b/>
                <w:bCs/>
                <w:color w:val="FF0000"/>
                <w:sz w:val="16"/>
                <w:szCs w:val="16"/>
                <w:lang w:eastAsia="en-GB"/>
              </w:rPr>
              <w:t>–</w:t>
            </w:r>
            <w:r w:rsidRPr="00055A8D">
              <w:rPr>
                <w:sz w:val="16"/>
                <w:szCs w:val="16"/>
                <w:lang w:eastAsia="en-GB"/>
              </w:rPr>
              <w:t xml:space="preserve"> / </w:t>
            </w:r>
            <w:r w:rsidR="00055A8D" w:rsidRPr="00055A8D">
              <w:rPr>
                <w:b/>
                <w:bCs/>
                <w:color w:val="0070C0"/>
                <w:sz w:val="16"/>
                <w:szCs w:val="16"/>
                <w:lang w:eastAsia="en-GB"/>
              </w:rPr>
              <w:t>–</w:t>
            </w:r>
            <w:r w:rsidRPr="00055A8D">
              <w:rPr>
                <w:sz w:val="16"/>
                <w:szCs w:val="16"/>
                <w:lang w:eastAsia="en-GB"/>
              </w:rPr>
              <w:t>)</w:t>
            </w:r>
          </w:p>
        </w:tc>
        <w:tc>
          <w:tcPr>
            <w:tcW w:w="1134" w:type="dxa"/>
            <w:vAlign w:val="center"/>
          </w:tcPr>
          <w:p w14:paraId="2DD6467D" w14:textId="5CD3C67F" w:rsidR="00D45BC7" w:rsidRPr="00055A8D" w:rsidRDefault="00D45BC7" w:rsidP="00140119">
            <w:pPr>
              <w:pStyle w:val="Tabletext"/>
              <w:rPr>
                <w:sz w:val="16"/>
                <w:szCs w:val="16"/>
                <w:lang w:eastAsia="en-GB"/>
              </w:rPr>
            </w:pPr>
            <w:r w:rsidRPr="00055A8D">
              <w:rPr>
                <w:sz w:val="16"/>
                <w:szCs w:val="16"/>
                <w:lang w:eastAsia="en-GB"/>
              </w:rPr>
              <w:t>+++</w:t>
            </w:r>
            <w:r w:rsidR="00140119" w:rsidRPr="00055A8D">
              <w:rPr>
                <w:sz w:val="16"/>
                <w:szCs w:val="16"/>
                <w:lang w:eastAsia="en-GB"/>
              </w:rPr>
              <w:br/>
            </w:r>
            <w:r w:rsidRPr="00055A8D">
              <w:rPr>
                <w:sz w:val="16"/>
                <w:szCs w:val="16"/>
                <w:lang w:eastAsia="en-GB"/>
              </w:rPr>
              <w:t>(</w:t>
            </w:r>
            <w:r w:rsidRPr="00055A8D">
              <w:rPr>
                <w:b/>
                <w:bCs/>
                <w:color w:val="FF0000"/>
                <w:sz w:val="16"/>
                <w:szCs w:val="16"/>
                <w:lang w:eastAsia="en-GB"/>
              </w:rPr>
              <w:t>++</w:t>
            </w:r>
            <w:r w:rsidRPr="00055A8D">
              <w:rPr>
                <w:sz w:val="16"/>
                <w:szCs w:val="16"/>
                <w:lang w:eastAsia="en-GB"/>
              </w:rPr>
              <w:t xml:space="preserve"> / </w:t>
            </w:r>
            <w:r w:rsidRPr="00055A8D">
              <w:rPr>
                <w:b/>
                <w:bCs/>
                <w:color w:val="0070C0"/>
                <w:sz w:val="16"/>
                <w:szCs w:val="16"/>
                <w:lang w:eastAsia="en-GB"/>
              </w:rPr>
              <w:t>+</w:t>
            </w:r>
            <w:r w:rsidRPr="00055A8D">
              <w:rPr>
                <w:sz w:val="16"/>
                <w:szCs w:val="16"/>
                <w:lang w:eastAsia="en-GB"/>
              </w:rPr>
              <w:t>)</w:t>
            </w:r>
          </w:p>
        </w:tc>
        <w:tc>
          <w:tcPr>
            <w:tcW w:w="1693" w:type="dxa"/>
            <w:vAlign w:val="center"/>
          </w:tcPr>
          <w:p w14:paraId="105AF0D2" w14:textId="77777777" w:rsidR="00D45BC7" w:rsidRPr="00055A8D" w:rsidRDefault="00D45BC7" w:rsidP="00FE1123">
            <w:pPr>
              <w:pStyle w:val="Tabletext"/>
              <w:rPr>
                <w:sz w:val="16"/>
                <w:szCs w:val="16"/>
                <w:lang w:eastAsia="en-GB"/>
              </w:rPr>
            </w:pPr>
            <w:r w:rsidRPr="00055A8D">
              <w:rPr>
                <w:sz w:val="16"/>
                <w:szCs w:val="16"/>
              </w:rPr>
              <w:t>–</w:t>
            </w:r>
          </w:p>
        </w:tc>
      </w:tr>
      <w:tr w:rsidR="00D45BC7" w:rsidRPr="00882D2B" w14:paraId="62A0257C" w14:textId="77777777" w:rsidTr="00140119">
        <w:trPr>
          <w:trHeight w:val="402"/>
          <w:jc w:val="center"/>
        </w:trPr>
        <w:tc>
          <w:tcPr>
            <w:tcW w:w="1552" w:type="dxa"/>
            <w:vAlign w:val="center"/>
          </w:tcPr>
          <w:p w14:paraId="13C69906" w14:textId="77777777" w:rsidR="00D45BC7" w:rsidRPr="00882D2B" w:rsidRDefault="00D45BC7" w:rsidP="00FE1123">
            <w:pPr>
              <w:spacing w:before="120" w:after="120"/>
              <w:jc w:val="center"/>
              <w:rPr>
                <w:rFonts w:ascii="Arial" w:hAnsi="Arial" w:cs="Arial"/>
                <w:b/>
                <w:bCs/>
                <w:sz w:val="16"/>
                <w:szCs w:val="16"/>
                <w:lang w:val="en-IE"/>
              </w:rPr>
            </w:pPr>
            <w:r w:rsidRPr="00882D2B">
              <w:rPr>
                <w:rFonts w:ascii="Arial" w:hAnsi="Arial" w:cs="Arial"/>
                <w:b/>
                <w:bCs/>
                <w:sz w:val="16"/>
                <w:szCs w:val="16"/>
                <w:lang w:val="en-IE"/>
              </w:rPr>
              <w:t>ELISA antibody test</w:t>
            </w:r>
          </w:p>
        </w:tc>
        <w:tc>
          <w:tcPr>
            <w:tcW w:w="1134" w:type="dxa"/>
            <w:vAlign w:val="center"/>
          </w:tcPr>
          <w:p w14:paraId="4261C12D" w14:textId="68E81450" w:rsidR="00D45BC7" w:rsidRPr="00055A8D" w:rsidRDefault="00D45BC7" w:rsidP="00140119">
            <w:pPr>
              <w:pStyle w:val="Tabletext"/>
              <w:rPr>
                <w:color w:val="000000" w:themeColor="text1"/>
                <w:sz w:val="16"/>
                <w:szCs w:val="16"/>
                <w:lang w:eastAsia="en-GB"/>
              </w:rPr>
            </w:pPr>
            <w:r w:rsidRPr="00055A8D">
              <w:rPr>
                <w:color w:val="000000" w:themeColor="text1"/>
                <w:sz w:val="16"/>
                <w:szCs w:val="16"/>
                <w:lang w:eastAsia="en-GB"/>
              </w:rPr>
              <w:t>+</w:t>
            </w:r>
            <w:r w:rsidR="00140119" w:rsidRPr="00055A8D">
              <w:rPr>
                <w:color w:val="000000" w:themeColor="text1"/>
                <w:sz w:val="16"/>
                <w:szCs w:val="16"/>
                <w:lang w:eastAsia="en-GB"/>
              </w:rPr>
              <w:br/>
            </w:r>
            <w:r w:rsidRPr="00055A8D">
              <w:rPr>
                <w:color w:val="000000" w:themeColor="text1"/>
                <w:sz w:val="16"/>
                <w:szCs w:val="16"/>
                <w:lang w:eastAsia="en-GB"/>
              </w:rPr>
              <w:t>(</w:t>
            </w:r>
            <w:r w:rsidR="00D6423A" w:rsidRPr="00055A8D">
              <w:rPr>
                <w:b/>
                <w:bCs/>
                <w:color w:val="FF0000"/>
                <w:sz w:val="16"/>
                <w:szCs w:val="16"/>
                <w:lang w:eastAsia="en-GB"/>
              </w:rPr>
              <w:t>–</w:t>
            </w:r>
            <w:r w:rsidRPr="00D6423A">
              <w:rPr>
                <w:b/>
                <w:bCs/>
                <w:color w:val="FF0000"/>
                <w:sz w:val="16"/>
                <w:szCs w:val="16"/>
                <w:lang w:eastAsia="en-GB"/>
              </w:rPr>
              <w:t xml:space="preserve"> </w:t>
            </w:r>
            <w:r w:rsidRPr="00055A8D">
              <w:rPr>
                <w:sz w:val="16"/>
                <w:szCs w:val="16"/>
                <w:lang w:eastAsia="en-GB"/>
              </w:rPr>
              <w:t xml:space="preserve">/ </w:t>
            </w:r>
            <w:r w:rsidRPr="00055A8D">
              <w:rPr>
                <w:b/>
                <w:bCs/>
                <w:color w:val="0070C0"/>
                <w:sz w:val="16"/>
                <w:szCs w:val="16"/>
                <w:lang w:eastAsia="en-GB"/>
              </w:rPr>
              <w:t>++</w:t>
            </w:r>
            <w:r w:rsidRPr="00055A8D">
              <w:rPr>
                <w:sz w:val="16"/>
                <w:szCs w:val="16"/>
                <w:lang w:eastAsia="en-GB"/>
              </w:rPr>
              <w:t>)</w:t>
            </w:r>
          </w:p>
        </w:tc>
        <w:tc>
          <w:tcPr>
            <w:tcW w:w="1418" w:type="dxa"/>
            <w:vAlign w:val="center"/>
          </w:tcPr>
          <w:p w14:paraId="21A9B380" w14:textId="40383A8D" w:rsidR="00D45BC7" w:rsidRPr="00055A8D" w:rsidRDefault="00D45BC7" w:rsidP="00140119">
            <w:pPr>
              <w:pStyle w:val="Tabletext"/>
              <w:rPr>
                <w:color w:val="000000" w:themeColor="text1"/>
                <w:sz w:val="16"/>
                <w:szCs w:val="16"/>
                <w:lang w:eastAsia="en-GB"/>
              </w:rPr>
            </w:pPr>
            <w:r w:rsidRPr="00055A8D">
              <w:rPr>
                <w:color w:val="000000" w:themeColor="text1"/>
                <w:sz w:val="16"/>
                <w:szCs w:val="16"/>
                <w:lang w:eastAsia="en-GB"/>
              </w:rPr>
              <w:t>+</w:t>
            </w:r>
            <w:r w:rsidR="00140119" w:rsidRPr="00055A8D">
              <w:rPr>
                <w:color w:val="000000" w:themeColor="text1"/>
                <w:sz w:val="16"/>
                <w:szCs w:val="16"/>
                <w:lang w:eastAsia="en-GB"/>
              </w:rPr>
              <w:br/>
            </w:r>
            <w:r w:rsidRPr="00055A8D">
              <w:rPr>
                <w:color w:val="000000" w:themeColor="text1"/>
                <w:sz w:val="16"/>
                <w:szCs w:val="16"/>
                <w:lang w:eastAsia="en-GB"/>
              </w:rPr>
              <w:t>(</w:t>
            </w:r>
            <w:r w:rsidR="00055A8D" w:rsidRPr="00055A8D">
              <w:rPr>
                <w:b/>
                <w:bCs/>
                <w:color w:val="FF0000"/>
                <w:sz w:val="16"/>
                <w:szCs w:val="16"/>
                <w:lang w:eastAsia="en-GB"/>
              </w:rPr>
              <w:t>+</w:t>
            </w:r>
            <w:r w:rsidRPr="00055A8D">
              <w:rPr>
                <w:sz w:val="16"/>
                <w:szCs w:val="16"/>
                <w:lang w:eastAsia="en-GB"/>
              </w:rPr>
              <w:t xml:space="preserve"> / </w:t>
            </w:r>
            <w:r w:rsidRPr="00055A8D">
              <w:rPr>
                <w:b/>
                <w:bCs/>
                <w:color w:val="0070C0"/>
                <w:sz w:val="16"/>
                <w:szCs w:val="16"/>
                <w:lang w:eastAsia="en-GB"/>
              </w:rPr>
              <w:t>+</w:t>
            </w:r>
            <w:r w:rsidR="0008720F" w:rsidRPr="00E12CA0">
              <w:rPr>
                <w:b/>
                <w:bCs/>
                <w:color w:val="0070C0"/>
                <w:sz w:val="16"/>
                <w:szCs w:val="16"/>
                <w:highlight w:val="yellow"/>
                <w:u w:val="double"/>
                <w:lang w:eastAsia="en-GB"/>
              </w:rPr>
              <w:t>+</w:t>
            </w:r>
            <w:r w:rsidRPr="00055A8D">
              <w:rPr>
                <w:sz w:val="16"/>
                <w:szCs w:val="16"/>
                <w:lang w:eastAsia="en-GB"/>
              </w:rPr>
              <w:t>)</w:t>
            </w:r>
          </w:p>
        </w:tc>
        <w:tc>
          <w:tcPr>
            <w:tcW w:w="1275" w:type="dxa"/>
            <w:vAlign w:val="center"/>
          </w:tcPr>
          <w:p w14:paraId="7A00FD68" w14:textId="510B4EC1" w:rsidR="00D45BC7" w:rsidRPr="00055A8D" w:rsidRDefault="00D45BC7" w:rsidP="00140119">
            <w:pPr>
              <w:pStyle w:val="Tabletext"/>
              <w:rPr>
                <w:color w:val="000000" w:themeColor="text1"/>
                <w:sz w:val="16"/>
                <w:szCs w:val="16"/>
                <w:lang w:eastAsia="en-GB"/>
              </w:rPr>
            </w:pPr>
            <w:r w:rsidRPr="00055A8D">
              <w:rPr>
                <w:color w:val="000000" w:themeColor="text1"/>
                <w:sz w:val="16"/>
                <w:szCs w:val="16"/>
                <w:lang w:eastAsia="en-GB"/>
              </w:rPr>
              <w:t>+</w:t>
            </w:r>
            <w:r w:rsidR="00140119" w:rsidRPr="00055A8D">
              <w:rPr>
                <w:color w:val="000000" w:themeColor="text1"/>
                <w:sz w:val="16"/>
                <w:szCs w:val="16"/>
                <w:lang w:eastAsia="en-GB"/>
              </w:rPr>
              <w:br/>
            </w:r>
            <w:r w:rsidRPr="00055A8D">
              <w:rPr>
                <w:color w:val="000000" w:themeColor="text1"/>
                <w:sz w:val="16"/>
                <w:szCs w:val="16"/>
                <w:lang w:eastAsia="en-GB"/>
              </w:rPr>
              <w:t>(</w:t>
            </w:r>
            <w:r w:rsidR="00D6423A" w:rsidRPr="00055A8D">
              <w:rPr>
                <w:b/>
                <w:bCs/>
                <w:color w:val="FF0000"/>
                <w:sz w:val="16"/>
                <w:szCs w:val="16"/>
                <w:lang w:eastAsia="en-GB"/>
              </w:rPr>
              <w:t>–</w:t>
            </w:r>
            <w:r w:rsidRPr="00055A8D">
              <w:rPr>
                <w:sz w:val="16"/>
                <w:szCs w:val="16"/>
                <w:lang w:eastAsia="en-GB"/>
              </w:rPr>
              <w:t xml:space="preserve"> / </w:t>
            </w:r>
            <w:r w:rsidRPr="00055A8D">
              <w:rPr>
                <w:b/>
                <w:bCs/>
                <w:color w:val="0070C0"/>
                <w:sz w:val="16"/>
                <w:szCs w:val="16"/>
                <w:lang w:eastAsia="en-GB"/>
              </w:rPr>
              <w:t>++</w:t>
            </w:r>
            <w:r w:rsidRPr="00055A8D">
              <w:rPr>
                <w:sz w:val="16"/>
                <w:szCs w:val="16"/>
                <w:lang w:eastAsia="en-GB"/>
              </w:rPr>
              <w:t>)</w:t>
            </w:r>
          </w:p>
        </w:tc>
        <w:tc>
          <w:tcPr>
            <w:tcW w:w="1134" w:type="dxa"/>
            <w:vAlign w:val="center"/>
          </w:tcPr>
          <w:p w14:paraId="13066DFA" w14:textId="77777777" w:rsidR="00D45BC7" w:rsidRPr="00055A8D" w:rsidRDefault="00D45BC7" w:rsidP="00FE1123">
            <w:pPr>
              <w:pStyle w:val="Tabletext"/>
              <w:rPr>
                <w:color w:val="000000" w:themeColor="text1"/>
                <w:sz w:val="16"/>
                <w:szCs w:val="16"/>
                <w:lang w:eastAsia="en-GB"/>
              </w:rPr>
            </w:pPr>
            <w:r w:rsidRPr="00055A8D">
              <w:rPr>
                <w:color w:val="000000" w:themeColor="text1"/>
                <w:sz w:val="16"/>
                <w:szCs w:val="16"/>
              </w:rPr>
              <w:t>–</w:t>
            </w:r>
          </w:p>
        </w:tc>
        <w:tc>
          <w:tcPr>
            <w:tcW w:w="1134" w:type="dxa"/>
            <w:vAlign w:val="center"/>
          </w:tcPr>
          <w:p w14:paraId="7342678D" w14:textId="4C9AD499" w:rsidR="00D45BC7" w:rsidRPr="00055A8D" w:rsidRDefault="00D45BC7" w:rsidP="00140119">
            <w:pPr>
              <w:pStyle w:val="Tabletext"/>
              <w:rPr>
                <w:color w:val="000000" w:themeColor="text1"/>
                <w:sz w:val="16"/>
                <w:szCs w:val="16"/>
                <w:lang w:eastAsia="en-GB"/>
              </w:rPr>
            </w:pPr>
            <w:r w:rsidRPr="00055A8D">
              <w:rPr>
                <w:color w:val="000000" w:themeColor="text1"/>
                <w:sz w:val="16"/>
                <w:szCs w:val="16"/>
                <w:lang w:eastAsia="en-GB"/>
              </w:rPr>
              <w:t>+</w:t>
            </w:r>
            <w:r w:rsidR="00140119" w:rsidRPr="00055A8D">
              <w:rPr>
                <w:color w:val="000000" w:themeColor="text1"/>
                <w:sz w:val="16"/>
                <w:szCs w:val="16"/>
                <w:lang w:eastAsia="en-GB"/>
              </w:rPr>
              <w:br/>
            </w:r>
            <w:r w:rsidRPr="00055A8D">
              <w:rPr>
                <w:color w:val="000000" w:themeColor="text1"/>
                <w:sz w:val="16"/>
                <w:szCs w:val="16"/>
                <w:lang w:eastAsia="en-GB"/>
              </w:rPr>
              <w:t>(</w:t>
            </w:r>
            <w:r w:rsidR="00D6423A" w:rsidRPr="00D6423A">
              <w:rPr>
                <w:b/>
                <w:bCs/>
                <w:color w:val="FF0000"/>
                <w:sz w:val="16"/>
                <w:szCs w:val="16"/>
                <w:lang w:eastAsia="en-GB"/>
              </w:rPr>
              <w:t>–</w:t>
            </w:r>
            <w:r w:rsidRPr="00055A8D">
              <w:rPr>
                <w:sz w:val="16"/>
                <w:szCs w:val="16"/>
                <w:lang w:eastAsia="en-GB"/>
              </w:rPr>
              <w:t xml:space="preserve"> / </w:t>
            </w:r>
            <w:r w:rsidRPr="00055A8D">
              <w:rPr>
                <w:b/>
                <w:bCs/>
                <w:color w:val="0070C0"/>
                <w:sz w:val="16"/>
                <w:szCs w:val="16"/>
                <w:lang w:eastAsia="en-GB"/>
              </w:rPr>
              <w:t>++</w:t>
            </w:r>
            <w:r w:rsidRPr="00055A8D">
              <w:rPr>
                <w:sz w:val="16"/>
                <w:szCs w:val="16"/>
                <w:lang w:eastAsia="en-GB"/>
              </w:rPr>
              <w:t>)</w:t>
            </w:r>
          </w:p>
        </w:tc>
        <w:tc>
          <w:tcPr>
            <w:tcW w:w="1693" w:type="dxa"/>
            <w:vAlign w:val="center"/>
          </w:tcPr>
          <w:p w14:paraId="558B78A5" w14:textId="77777777" w:rsidR="00D45BC7" w:rsidRPr="00055A8D" w:rsidRDefault="00D45BC7" w:rsidP="00FE1123">
            <w:pPr>
              <w:pStyle w:val="Tabletext"/>
              <w:rPr>
                <w:sz w:val="16"/>
                <w:szCs w:val="16"/>
                <w:lang w:eastAsia="en-GB"/>
              </w:rPr>
            </w:pPr>
            <w:r w:rsidRPr="00055A8D">
              <w:rPr>
                <w:sz w:val="16"/>
                <w:szCs w:val="16"/>
              </w:rPr>
              <w:t>–</w:t>
            </w:r>
          </w:p>
        </w:tc>
      </w:tr>
      <w:tr w:rsidR="00055A8D" w:rsidRPr="00882D2B" w14:paraId="0BC3A631" w14:textId="77777777" w:rsidTr="00140119">
        <w:trPr>
          <w:trHeight w:val="402"/>
          <w:jc w:val="center"/>
        </w:trPr>
        <w:tc>
          <w:tcPr>
            <w:tcW w:w="1552" w:type="dxa"/>
            <w:vAlign w:val="center"/>
          </w:tcPr>
          <w:p w14:paraId="34CAF431" w14:textId="55DC447B" w:rsidR="00055A8D" w:rsidRPr="00882D2B" w:rsidRDefault="00055A8D" w:rsidP="00055A8D">
            <w:pPr>
              <w:spacing w:before="120" w:after="120"/>
              <w:jc w:val="center"/>
              <w:rPr>
                <w:rFonts w:ascii="Arial" w:hAnsi="Arial" w:cs="Arial"/>
                <w:b/>
                <w:bCs/>
                <w:sz w:val="16"/>
                <w:szCs w:val="16"/>
                <w:lang w:val="en-IE"/>
              </w:rPr>
            </w:pPr>
            <w:r w:rsidRPr="00882D2B">
              <w:rPr>
                <w:rFonts w:ascii="Arial" w:hAnsi="Arial" w:cs="Arial"/>
                <w:b/>
                <w:bCs/>
                <w:sz w:val="16"/>
                <w:szCs w:val="16"/>
                <w:lang w:val="en-IE"/>
              </w:rPr>
              <w:t xml:space="preserve">Lateral flow antibody test </w:t>
            </w:r>
          </w:p>
        </w:tc>
        <w:tc>
          <w:tcPr>
            <w:tcW w:w="1134" w:type="dxa"/>
            <w:vAlign w:val="center"/>
          </w:tcPr>
          <w:p w14:paraId="6906D616" w14:textId="295F18D5" w:rsidR="00055A8D" w:rsidRPr="00055A8D" w:rsidRDefault="00055A8D" w:rsidP="00055A8D">
            <w:pPr>
              <w:pStyle w:val="Tabletext"/>
              <w:rPr>
                <w:sz w:val="16"/>
                <w:szCs w:val="16"/>
                <w:lang w:eastAsia="en-GB"/>
              </w:rPr>
            </w:pPr>
            <w:r w:rsidRPr="00055A8D">
              <w:rPr>
                <w:sz w:val="16"/>
                <w:szCs w:val="16"/>
                <w:lang w:eastAsia="en-GB"/>
              </w:rPr>
              <w:t>+</w:t>
            </w:r>
            <w:r w:rsidRPr="00055A8D">
              <w:rPr>
                <w:sz w:val="16"/>
                <w:szCs w:val="16"/>
                <w:lang w:eastAsia="en-GB"/>
              </w:rPr>
              <w:br/>
            </w:r>
            <w:r w:rsidRPr="00E12CA0">
              <w:rPr>
                <w:strike/>
                <w:sz w:val="16"/>
                <w:szCs w:val="16"/>
                <w:highlight w:val="yellow"/>
                <w:lang w:eastAsia="en-GB"/>
              </w:rPr>
              <w:t>(</w:t>
            </w:r>
            <w:r w:rsidRPr="00E12CA0">
              <w:rPr>
                <w:b/>
                <w:bCs/>
                <w:strike/>
                <w:color w:val="FF0000"/>
                <w:sz w:val="16"/>
                <w:szCs w:val="16"/>
                <w:highlight w:val="yellow"/>
                <w:lang w:eastAsia="en-GB"/>
              </w:rPr>
              <w:t xml:space="preserve">+ </w:t>
            </w:r>
            <w:r w:rsidRPr="00E12CA0">
              <w:rPr>
                <w:strike/>
                <w:sz w:val="16"/>
                <w:szCs w:val="16"/>
                <w:highlight w:val="yellow"/>
                <w:lang w:eastAsia="en-GB"/>
              </w:rPr>
              <w:t xml:space="preserve">/ </w:t>
            </w:r>
            <w:r w:rsidRPr="00E12CA0">
              <w:rPr>
                <w:b/>
                <w:bCs/>
                <w:strike/>
                <w:color w:val="0070C0"/>
                <w:sz w:val="16"/>
                <w:szCs w:val="16"/>
                <w:highlight w:val="yellow"/>
                <w:lang w:eastAsia="en-GB"/>
              </w:rPr>
              <w:t>–</w:t>
            </w:r>
            <w:r w:rsidRPr="00E12CA0">
              <w:rPr>
                <w:strike/>
                <w:sz w:val="16"/>
                <w:szCs w:val="16"/>
                <w:highlight w:val="yellow"/>
                <w:lang w:eastAsia="en-GB"/>
              </w:rPr>
              <w:t>)</w:t>
            </w:r>
          </w:p>
        </w:tc>
        <w:tc>
          <w:tcPr>
            <w:tcW w:w="1418" w:type="dxa"/>
            <w:vAlign w:val="center"/>
          </w:tcPr>
          <w:p w14:paraId="46500579" w14:textId="04383CFE" w:rsidR="00055A8D" w:rsidRPr="00055A8D" w:rsidRDefault="00055A8D" w:rsidP="00055A8D">
            <w:pPr>
              <w:pStyle w:val="Tabletext"/>
              <w:rPr>
                <w:sz w:val="16"/>
                <w:szCs w:val="16"/>
                <w:lang w:eastAsia="en-GB"/>
              </w:rPr>
            </w:pPr>
            <w:r w:rsidRPr="00055A8D">
              <w:rPr>
                <w:sz w:val="16"/>
                <w:szCs w:val="16"/>
                <w:lang w:eastAsia="en-GB"/>
              </w:rPr>
              <w:t>+</w:t>
            </w:r>
            <w:r w:rsidRPr="00055A8D">
              <w:rPr>
                <w:sz w:val="16"/>
                <w:szCs w:val="16"/>
                <w:lang w:eastAsia="en-GB"/>
              </w:rPr>
              <w:br/>
            </w:r>
            <w:r w:rsidRPr="00E12CA0">
              <w:rPr>
                <w:strike/>
                <w:sz w:val="16"/>
                <w:szCs w:val="16"/>
                <w:highlight w:val="yellow"/>
                <w:lang w:eastAsia="en-GB"/>
              </w:rPr>
              <w:t>(</w:t>
            </w:r>
            <w:r w:rsidRPr="00E12CA0">
              <w:rPr>
                <w:b/>
                <w:bCs/>
                <w:strike/>
                <w:color w:val="FF0000"/>
                <w:sz w:val="16"/>
                <w:szCs w:val="16"/>
                <w:highlight w:val="yellow"/>
                <w:lang w:eastAsia="en-GB"/>
              </w:rPr>
              <w:t xml:space="preserve">+ </w:t>
            </w:r>
            <w:r w:rsidRPr="00E12CA0">
              <w:rPr>
                <w:strike/>
                <w:sz w:val="16"/>
                <w:szCs w:val="16"/>
                <w:highlight w:val="yellow"/>
                <w:lang w:eastAsia="en-GB"/>
              </w:rPr>
              <w:t xml:space="preserve">/ </w:t>
            </w:r>
            <w:r w:rsidRPr="00E12CA0">
              <w:rPr>
                <w:b/>
                <w:bCs/>
                <w:strike/>
                <w:color w:val="0070C0"/>
                <w:sz w:val="16"/>
                <w:szCs w:val="16"/>
                <w:highlight w:val="yellow"/>
                <w:lang w:eastAsia="en-GB"/>
              </w:rPr>
              <w:t>–</w:t>
            </w:r>
            <w:r w:rsidRPr="00E12CA0">
              <w:rPr>
                <w:strike/>
                <w:sz w:val="16"/>
                <w:szCs w:val="16"/>
                <w:highlight w:val="yellow"/>
                <w:lang w:eastAsia="en-GB"/>
              </w:rPr>
              <w:t>)</w:t>
            </w:r>
          </w:p>
        </w:tc>
        <w:tc>
          <w:tcPr>
            <w:tcW w:w="1275" w:type="dxa"/>
            <w:vAlign w:val="center"/>
          </w:tcPr>
          <w:p w14:paraId="06EED9FD" w14:textId="2F7FB843" w:rsidR="00055A8D" w:rsidRPr="00055A8D" w:rsidRDefault="00055A8D" w:rsidP="00055A8D">
            <w:pPr>
              <w:pStyle w:val="Tabletext"/>
              <w:rPr>
                <w:sz w:val="16"/>
                <w:szCs w:val="16"/>
                <w:lang w:eastAsia="en-GB"/>
              </w:rPr>
            </w:pPr>
            <w:r w:rsidRPr="00055A8D">
              <w:rPr>
                <w:sz w:val="16"/>
                <w:szCs w:val="16"/>
                <w:lang w:eastAsia="en-GB"/>
              </w:rPr>
              <w:t>+</w:t>
            </w:r>
            <w:r w:rsidRPr="00055A8D">
              <w:rPr>
                <w:sz w:val="16"/>
                <w:szCs w:val="16"/>
                <w:lang w:eastAsia="en-GB"/>
              </w:rPr>
              <w:br/>
            </w:r>
            <w:r w:rsidRPr="00E12CA0">
              <w:rPr>
                <w:strike/>
                <w:sz w:val="16"/>
                <w:szCs w:val="16"/>
                <w:highlight w:val="yellow"/>
                <w:lang w:eastAsia="en-GB"/>
              </w:rPr>
              <w:t>(</w:t>
            </w:r>
            <w:r w:rsidRPr="00E12CA0">
              <w:rPr>
                <w:b/>
                <w:bCs/>
                <w:strike/>
                <w:color w:val="FF0000"/>
                <w:sz w:val="16"/>
                <w:szCs w:val="16"/>
                <w:highlight w:val="yellow"/>
                <w:lang w:eastAsia="en-GB"/>
              </w:rPr>
              <w:t xml:space="preserve">+ </w:t>
            </w:r>
            <w:r w:rsidRPr="00E12CA0">
              <w:rPr>
                <w:strike/>
                <w:sz w:val="16"/>
                <w:szCs w:val="16"/>
                <w:highlight w:val="yellow"/>
                <w:lang w:eastAsia="en-GB"/>
              </w:rPr>
              <w:t xml:space="preserve">/ </w:t>
            </w:r>
            <w:r w:rsidRPr="00E12CA0">
              <w:rPr>
                <w:b/>
                <w:bCs/>
                <w:strike/>
                <w:color w:val="0070C0"/>
                <w:sz w:val="16"/>
                <w:szCs w:val="16"/>
                <w:highlight w:val="yellow"/>
                <w:lang w:eastAsia="en-GB"/>
              </w:rPr>
              <w:t>–</w:t>
            </w:r>
            <w:r w:rsidRPr="00E12CA0">
              <w:rPr>
                <w:strike/>
                <w:sz w:val="16"/>
                <w:szCs w:val="16"/>
                <w:highlight w:val="yellow"/>
                <w:lang w:eastAsia="en-GB"/>
              </w:rPr>
              <w:t>)</w:t>
            </w:r>
          </w:p>
        </w:tc>
        <w:tc>
          <w:tcPr>
            <w:tcW w:w="1134" w:type="dxa"/>
            <w:vAlign w:val="center"/>
          </w:tcPr>
          <w:p w14:paraId="142D6906" w14:textId="033D77E0" w:rsidR="00055A8D" w:rsidRPr="00055A8D" w:rsidRDefault="00E12CA0" w:rsidP="00055A8D">
            <w:pPr>
              <w:pStyle w:val="Tabletext"/>
              <w:rPr>
                <w:sz w:val="16"/>
                <w:szCs w:val="16"/>
              </w:rPr>
            </w:pPr>
            <w:r>
              <w:rPr>
                <w:sz w:val="16"/>
                <w:szCs w:val="16"/>
                <w:lang w:eastAsia="en-GB"/>
              </w:rPr>
              <w:t>–</w:t>
            </w:r>
          </w:p>
        </w:tc>
        <w:tc>
          <w:tcPr>
            <w:tcW w:w="1134" w:type="dxa"/>
            <w:vAlign w:val="center"/>
          </w:tcPr>
          <w:p w14:paraId="2D22C1CE" w14:textId="6098BCA2" w:rsidR="00055A8D" w:rsidRPr="00055A8D" w:rsidRDefault="00055A8D" w:rsidP="00055A8D">
            <w:pPr>
              <w:pStyle w:val="Tabletext"/>
              <w:rPr>
                <w:sz w:val="16"/>
                <w:szCs w:val="16"/>
                <w:lang w:eastAsia="en-GB"/>
              </w:rPr>
            </w:pPr>
            <w:r w:rsidRPr="00055A8D">
              <w:rPr>
                <w:sz w:val="16"/>
                <w:szCs w:val="16"/>
                <w:lang w:eastAsia="en-GB"/>
              </w:rPr>
              <w:t>+</w:t>
            </w:r>
            <w:r w:rsidRPr="00055A8D">
              <w:rPr>
                <w:sz w:val="16"/>
                <w:szCs w:val="16"/>
                <w:lang w:eastAsia="en-GB"/>
              </w:rPr>
              <w:br/>
            </w:r>
            <w:r w:rsidRPr="00E12CA0">
              <w:rPr>
                <w:strike/>
                <w:sz w:val="16"/>
                <w:szCs w:val="16"/>
                <w:highlight w:val="yellow"/>
                <w:lang w:eastAsia="en-GB"/>
              </w:rPr>
              <w:t>(</w:t>
            </w:r>
            <w:r w:rsidRPr="00E12CA0">
              <w:rPr>
                <w:b/>
                <w:bCs/>
                <w:strike/>
                <w:color w:val="FF0000"/>
                <w:sz w:val="16"/>
                <w:szCs w:val="16"/>
                <w:highlight w:val="yellow"/>
                <w:lang w:eastAsia="en-GB"/>
              </w:rPr>
              <w:t xml:space="preserve">+ </w:t>
            </w:r>
            <w:r w:rsidRPr="00E12CA0">
              <w:rPr>
                <w:strike/>
                <w:sz w:val="16"/>
                <w:szCs w:val="16"/>
                <w:highlight w:val="yellow"/>
                <w:lang w:eastAsia="en-GB"/>
              </w:rPr>
              <w:t xml:space="preserve">/ </w:t>
            </w:r>
            <w:r w:rsidRPr="00E12CA0">
              <w:rPr>
                <w:b/>
                <w:bCs/>
                <w:strike/>
                <w:color w:val="0070C0"/>
                <w:sz w:val="16"/>
                <w:szCs w:val="16"/>
                <w:highlight w:val="yellow"/>
                <w:lang w:eastAsia="en-GB"/>
              </w:rPr>
              <w:t>–</w:t>
            </w:r>
            <w:r w:rsidRPr="00E12CA0">
              <w:rPr>
                <w:strike/>
                <w:sz w:val="16"/>
                <w:szCs w:val="16"/>
                <w:highlight w:val="yellow"/>
                <w:lang w:eastAsia="en-GB"/>
              </w:rPr>
              <w:t>)</w:t>
            </w:r>
          </w:p>
        </w:tc>
        <w:tc>
          <w:tcPr>
            <w:tcW w:w="1693" w:type="dxa"/>
            <w:vAlign w:val="center"/>
          </w:tcPr>
          <w:p w14:paraId="2971BF46" w14:textId="0AA5E21C" w:rsidR="00055A8D" w:rsidRPr="00055A8D" w:rsidRDefault="00055A8D" w:rsidP="00055A8D">
            <w:pPr>
              <w:pStyle w:val="Tabletext"/>
              <w:rPr>
                <w:sz w:val="16"/>
                <w:szCs w:val="16"/>
              </w:rPr>
            </w:pPr>
            <w:r w:rsidRPr="00055A8D">
              <w:rPr>
                <w:sz w:val="16"/>
                <w:szCs w:val="16"/>
              </w:rPr>
              <w:t>–</w:t>
            </w:r>
          </w:p>
        </w:tc>
      </w:tr>
    </w:tbl>
    <w:p w14:paraId="08EF3AD8" w14:textId="02FD1902" w:rsidR="0015316B" w:rsidRPr="00882D2B" w:rsidRDefault="0015316B" w:rsidP="005D629C">
      <w:pPr>
        <w:pStyle w:val="PlainText"/>
        <w:spacing w:before="120" w:after="240"/>
        <w:jc w:val="center"/>
        <w:rPr>
          <w:rFonts w:ascii="Arial" w:hAnsi="Arial" w:cs="Arial"/>
          <w:color w:val="000000"/>
          <w:sz w:val="16"/>
          <w:szCs w:val="16"/>
          <w:lang w:val="en-IE"/>
        </w:rPr>
      </w:pPr>
      <w:r w:rsidRPr="00882D2B">
        <w:rPr>
          <w:rFonts w:ascii="Arial" w:hAnsi="Arial" w:cs="Arial"/>
          <w:color w:val="000000"/>
          <w:sz w:val="16"/>
          <w:szCs w:val="16"/>
          <w:lang w:val="en-IE"/>
        </w:rPr>
        <w:t>Key: +++ = recommended for this purpose; ++ recommended but has limitations; + = suitable in very limited circumstances;</w:t>
      </w:r>
      <w:r w:rsidR="006B6FAB" w:rsidRPr="00882D2B">
        <w:rPr>
          <w:rFonts w:ascii="Arial" w:hAnsi="Arial" w:cs="Arial"/>
          <w:color w:val="000000"/>
          <w:sz w:val="16"/>
          <w:szCs w:val="16"/>
          <w:lang w:val="en-IE"/>
        </w:rPr>
        <w:br/>
      </w:r>
      <w:r w:rsidRPr="00882D2B">
        <w:rPr>
          <w:rFonts w:ascii="Arial" w:hAnsi="Arial" w:cs="Arial"/>
          <w:color w:val="000000"/>
          <w:sz w:val="16"/>
          <w:szCs w:val="16"/>
          <w:lang w:val="en-IE"/>
        </w:rPr>
        <w:t xml:space="preserve"> – = not appropriate for this purpose.</w:t>
      </w:r>
      <w:r w:rsidR="00140119" w:rsidRPr="00882D2B">
        <w:rPr>
          <w:rFonts w:ascii="Arial" w:hAnsi="Arial" w:cs="Arial"/>
          <w:color w:val="000000"/>
          <w:sz w:val="16"/>
          <w:szCs w:val="16"/>
          <w:lang w:val="en-IE"/>
        </w:rPr>
        <w:t xml:space="preserve"> </w:t>
      </w:r>
      <w:r w:rsidR="006F2AE8" w:rsidRPr="00882D2B">
        <w:rPr>
          <w:rFonts w:ascii="Arial" w:hAnsi="Arial" w:cs="Arial"/>
          <w:color w:val="000000"/>
          <w:sz w:val="16"/>
          <w:szCs w:val="16"/>
          <w:lang w:val="en-IE"/>
        </w:rPr>
        <w:t xml:space="preserve">Methods whose fitness for purpose differ between cattle, goats and camelids are represented </w:t>
      </w:r>
      <w:r w:rsidR="00E75062" w:rsidRPr="00882D2B">
        <w:rPr>
          <w:rFonts w:ascii="Arial" w:hAnsi="Arial" w:cs="Arial"/>
          <w:color w:val="000000"/>
          <w:sz w:val="16"/>
          <w:szCs w:val="16"/>
          <w:lang w:val="en-IE"/>
        </w:rPr>
        <w:t>in black colo</w:t>
      </w:r>
      <w:r w:rsidR="001A5CE3" w:rsidRPr="00882D2B">
        <w:rPr>
          <w:rFonts w:ascii="Arial" w:hAnsi="Arial" w:cs="Arial"/>
          <w:color w:val="000000"/>
          <w:sz w:val="16"/>
          <w:szCs w:val="16"/>
          <w:lang w:val="en-IE"/>
        </w:rPr>
        <w:t>u</w:t>
      </w:r>
      <w:r w:rsidR="00E75062" w:rsidRPr="00882D2B">
        <w:rPr>
          <w:rFonts w:ascii="Arial" w:hAnsi="Arial" w:cs="Arial"/>
          <w:color w:val="000000"/>
          <w:sz w:val="16"/>
          <w:szCs w:val="16"/>
          <w:lang w:val="en-IE"/>
        </w:rPr>
        <w:t xml:space="preserve">r </w:t>
      </w:r>
      <w:r w:rsidR="006F2AE8" w:rsidRPr="00882D2B">
        <w:rPr>
          <w:rFonts w:ascii="Arial" w:hAnsi="Arial" w:cs="Arial"/>
          <w:color w:val="000000"/>
          <w:sz w:val="16"/>
          <w:szCs w:val="16"/>
          <w:lang w:val="en-IE"/>
        </w:rPr>
        <w:t>for cattle</w:t>
      </w:r>
      <w:r w:rsidR="00E75062" w:rsidRPr="00882D2B">
        <w:rPr>
          <w:rFonts w:ascii="Arial" w:hAnsi="Arial" w:cs="Arial"/>
          <w:color w:val="000000"/>
          <w:sz w:val="16"/>
          <w:szCs w:val="16"/>
          <w:lang w:val="en-IE"/>
        </w:rPr>
        <w:t>,</w:t>
      </w:r>
      <w:r w:rsidR="006F2AE8" w:rsidRPr="00882D2B">
        <w:rPr>
          <w:rFonts w:ascii="Arial" w:hAnsi="Arial" w:cs="Arial"/>
          <w:color w:val="000000"/>
          <w:sz w:val="16"/>
          <w:szCs w:val="16"/>
          <w:lang w:val="en-IE"/>
        </w:rPr>
        <w:t xml:space="preserve"> </w:t>
      </w:r>
      <w:r w:rsidR="00E75062" w:rsidRPr="00882D2B">
        <w:rPr>
          <w:rFonts w:ascii="Arial" w:hAnsi="Arial" w:cs="Arial"/>
          <w:color w:val="000000"/>
          <w:sz w:val="16"/>
          <w:szCs w:val="16"/>
          <w:lang w:val="en-IE"/>
        </w:rPr>
        <w:t>and</w:t>
      </w:r>
      <w:r w:rsidR="006F2AE8" w:rsidRPr="00882D2B">
        <w:rPr>
          <w:rFonts w:ascii="Arial" w:hAnsi="Arial" w:cs="Arial"/>
          <w:color w:val="000000"/>
          <w:sz w:val="16"/>
          <w:szCs w:val="16"/>
          <w:lang w:val="en-IE"/>
        </w:rPr>
        <w:t xml:space="preserve"> differences for </w:t>
      </w:r>
      <w:r w:rsidR="006F2AE8" w:rsidRPr="00882D2B">
        <w:rPr>
          <w:rFonts w:ascii="Arial" w:hAnsi="Arial" w:cs="Arial"/>
          <w:b/>
          <w:bCs/>
          <w:color w:val="FF0000"/>
          <w:sz w:val="16"/>
          <w:szCs w:val="16"/>
          <w:lang w:val="en-IE"/>
        </w:rPr>
        <w:t>goats</w:t>
      </w:r>
      <w:r w:rsidR="006F2AE8" w:rsidRPr="00882D2B">
        <w:rPr>
          <w:rFonts w:ascii="Arial" w:hAnsi="Arial" w:cs="Arial"/>
          <w:color w:val="000000"/>
          <w:sz w:val="16"/>
          <w:szCs w:val="16"/>
          <w:lang w:val="en-IE"/>
        </w:rPr>
        <w:t xml:space="preserve"> and </w:t>
      </w:r>
      <w:r w:rsidR="006F2AE8" w:rsidRPr="00882D2B">
        <w:rPr>
          <w:rFonts w:ascii="Arial" w:hAnsi="Arial" w:cs="Arial"/>
          <w:b/>
          <w:bCs/>
          <w:color w:val="0070C0"/>
          <w:sz w:val="16"/>
          <w:szCs w:val="16"/>
          <w:lang w:val="en-IE"/>
        </w:rPr>
        <w:t>camelids</w:t>
      </w:r>
      <w:r w:rsidR="009C5BC8" w:rsidRPr="00882D2B">
        <w:rPr>
          <w:rFonts w:ascii="Arial" w:hAnsi="Arial" w:cs="Arial"/>
          <w:color w:val="0070C0"/>
          <w:sz w:val="16"/>
          <w:szCs w:val="16"/>
          <w:lang w:val="en-IE"/>
        </w:rPr>
        <w:t xml:space="preserve"> </w:t>
      </w:r>
      <w:r w:rsidR="00E75062" w:rsidRPr="00882D2B">
        <w:rPr>
          <w:rFonts w:ascii="Arial" w:hAnsi="Arial" w:cs="Arial"/>
          <w:color w:val="000000"/>
          <w:sz w:val="16"/>
          <w:szCs w:val="16"/>
          <w:lang w:val="en-IE"/>
        </w:rPr>
        <w:t xml:space="preserve">shown </w:t>
      </w:r>
      <w:r w:rsidR="00FC5AC0">
        <w:rPr>
          <w:rFonts w:ascii="Arial" w:hAnsi="Arial" w:cs="Arial"/>
          <w:color w:val="000000"/>
          <w:sz w:val="16"/>
          <w:szCs w:val="16"/>
          <w:lang w:val="en-IE"/>
        </w:rPr>
        <w:br/>
      </w:r>
      <w:r w:rsidR="00E75062" w:rsidRPr="00882D2B">
        <w:rPr>
          <w:rFonts w:ascii="Arial" w:hAnsi="Arial" w:cs="Arial"/>
          <w:color w:val="000000"/>
          <w:sz w:val="16"/>
          <w:szCs w:val="16"/>
          <w:lang w:val="en-IE"/>
        </w:rPr>
        <w:t xml:space="preserve">in parentheses </w:t>
      </w:r>
      <w:r w:rsidR="009C5BC8" w:rsidRPr="00882D2B">
        <w:rPr>
          <w:rFonts w:ascii="Arial" w:hAnsi="Arial" w:cs="Arial"/>
          <w:color w:val="000000" w:themeColor="text1"/>
          <w:sz w:val="16"/>
          <w:szCs w:val="16"/>
          <w:lang w:val="en-IE"/>
        </w:rPr>
        <w:t>in red and blue colo</w:t>
      </w:r>
      <w:r w:rsidR="001A5CE3" w:rsidRPr="00882D2B">
        <w:rPr>
          <w:rFonts w:ascii="Arial" w:hAnsi="Arial" w:cs="Arial"/>
          <w:color w:val="000000" w:themeColor="text1"/>
          <w:sz w:val="16"/>
          <w:szCs w:val="16"/>
          <w:lang w:val="en-IE"/>
        </w:rPr>
        <w:t>u</w:t>
      </w:r>
      <w:r w:rsidR="009C5BC8" w:rsidRPr="00882D2B">
        <w:rPr>
          <w:rFonts w:ascii="Arial" w:hAnsi="Arial" w:cs="Arial"/>
          <w:color w:val="000000" w:themeColor="text1"/>
          <w:sz w:val="16"/>
          <w:szCs w:val="16"/>
          <w:lang w:val="en-IE"/>
        </w:rPr>
        <w:t>rs, respectively.</w:t>
      </w:r>
      <w:r w:rsidR="00140119" w:rsidRPr="00882D2B">
        <w:rPr>
          <w:rFonts w:ascii="Arial" w:hAnsi="Arial" w:cs="Arial"/>
          <w:color w:val="000000" w:themeColor="text1"/>
          <w:sz w:val="16"/>
          <w:szCs w:val="16"/>
          <w:lang w:val="en-IE"/>
        </w:rPr>
        <w:t xml:space="preserve"> </w:t>
      </w:r>
      <w:r w:rsidR="005D629C" w:rsidRPr="00882D2B">
        <w:rPr>
          <w:rFonts w:ascii="Arial" w:hAnsi="Arial" w:cs="Arial"/>
          <w:color w:val="000000"/>
          <w:sz w:val="16"/>
          <w:szCs w:val="16"/>
          <w:lang w:val="en-IE"/>
        </w:rPr>
        <w:br/>
      </w:r>
      <w:r w:rsidR="00E545C8" w:rsidRPr="00882D2B">
        <w:rPr>
          <w:rFonts w:ascii="Arial" w:hAnsi="Arial" w:cs="Arial"/>
          <w:color w:val="000000"/>
          <w:sz w:val="16"/>
          <w:szCs w:val="16"/>
          <w:lang w:val="en-IE"/>
        </w:rPr>
        <w:t>PCR = polymerase chain reaction;</w:t>
      </w:r>
      <w:r w:rsidR="005D629C" w:rsidRPr="00882D2B">
        <w:rPr>
          <w:rFonts w:ascii="Arial" w:hAnsi="Arial" w:cs="Arial"/>
          <w:color w:val="000000"/>
          <w:sz w:val="16"/>
          <w:szCs w:val="16"/>
          <w:lang w:val="en-IE"/>
        </w:rPr>
        <w:t xml:space="preserve"> </w:t>
      </w:r>
      <w:r w:rsidR="00E96642">
        <w:rPr>
          <w:rFonts w:ascii="Arial" w:hAnsi="Arial" w:cs="Arial"/>
          <w:color w:val="000000"/>
          <w:sz w:val="16"/>
          <w:szCs w:val="16"/>
          <w:lang w:val="en-IE"/>
        </w:rPr>
        <w:t>IGRA</w:t>
      </w:r>
      <w:r w:rsidR="009C6EF3" w:rsidRPr="00882D2B">
        <w:rPr>
          <w:rFonts w:ascii="Arial" w:hAnsi="Arial" w:cs="Arial"/>
          <w:sz w:val="16"/>
          <w:szCs w:val="16"/>
          <w:lang w:val="en-IE"/>
        </w:rPr>
        <w:t xml:space="preserve"> = Interferon gamma</w:t>
      </w:r>
      <w:r w:rsidR="00E96642">
        <w:rPr>
          <w:rFonts w:ascii="Arial" w:hAnsi="Arial" w:cs="Arial"/>
          <w:sz w:val="16"/>
          <w:szCs w:val="16"/>
          <w:lang w:val="en-IE"/>
        </w:rPr>
        <w:t xml:space="preserve"> release assay</w:t>
      </w:r>
      <w:r w:rsidR="005D629C" w:rsidRPr="00882D2B">
        <w:rPr>
          <w:rFonts w:ascii="Arial" w:hAnsi="Arial" w:cs="Arial"/>
          <w:sz w:val="16"/>
          <w:szCs w:val="16"/>
          <w:lang w:val="en-IE"/>
        </w:rPr>
        <w:t>;</w:t>
      </w:r>
      <w:r w:rsidR="005D629C" w:rsidRPr="00882D2B">
        <w:rPr>
          <w:rFonts w:ascii="Arial" w:hAnsi="Arial" w:cs="Arial"/>
          <w:color w:val="000000"/>
          <w:sz w:val="16"/>
          <w:szCs w:val="16"/>
          <w:lang w:val="en-IE"/>
        </w:rPr>
        <w:t xml:space="preserve"> ELISA = enzyme-linked immunosorbent assay.</w:t>
      </w:r>
    </w:p>
    <w:p w14:paraId="75A4C40C" w14:textId="0CCADA08" w:rsidR="0015316B" w:rsidRPr="00730C6A" w:rsidRDefault="0015316B" w:rsidP="00443293">
      <w:pPr>
        <w:pStyle w:val="1"/>
      </w:pPr>
      <w:r w:rsidRPr="00882D2B">
        <w:rPr>
          <w:lang w:val="en-IE"/>
        </w:rPr>
        <w:t>1.</w:t>
      </w:r>
      <w:r w:rsidRPr="00882D2B">
        <w:rPr>
          <w:lang w:val="en-IE"/>
        </w:rPr>
        <w:tab/>
      </w:r>
      <w:r w:rsidR="006A5E24" w:rsidRPr="00882D2B">
        <w:rPr>
          <w:lang w:val="en-IE"/>
        </w:rPr>
        <w:t>Detection</w:t>
      </w:r>
      <w:r w:rsidR="00D92CC7" w:rsidRPr="00882D2B">
        <w:rPr>
          <w:lang w:val="en-IE"/>
        </w:rPr>
        <w:t xml:space="preserve"> and identification</w:t>
      </w:r>
      <w:r w:rsidRPr="00882D2B">
        <w:rPr>
          <w:lang w:val="en-IE"/>
        </w:rPr>
        <w:t xml:space="preserve"> of the </w:t>
      </w:r>
      <w:r w:rsidR="00730C6A" w:rsidRPr="00882D2B">
        <w:rPr>
          <w:lang w:val="en-IE"/>
        </w:rPr>
        <w:t>agent</w:t>
      </w:r>
    </w:p>
    <w:p w14:paraId="547A1522" w14:textId="77777777" w:rsidR="0015316B" w:rsidRPr="00882D2B" w:rsidRDefault="0015316B" w:rsidP="00846462">
      <w:pPr>
        <w:pStyle w:val="11"/>
        <w:rPr>
          <w:lang w:val="en-IE"/>
        </w:rPr>
      </w:pPr>
      <w:r w:rsidRPr="00882D2B">
        <w:rPr>
          <w:lang w:val="en-IE"/>
        </w:rPr>
        <w:t>1.1.</w:t>
      </w:r>
      <w:r w:rsidRPr="00882D2B">
        <w:rPr>
          <w:lang w:val="en-IE"/>
        </w:rPr>
        <w:tab/>
        <w:t>Microscopic examination</w:t>
      </w:r>
    </w:p>
    <w:p w14:paraId="29998682" w14:textId="77777777" w:rsidR="006B263A" w:rsidRPr="00882D2B" w:rsidRDefault="006B263A" w:rsidP="006B263A">
      <w:pPr>
        <w:pStyle w:val="11Para"/>
        <w:rPr>
          <w:lang w:val="en-IE"/>
        </w:rPr>
      </w:pPr>
      <w:r w:rsidRPr="00882D2B">
        <w:rPr>
          <w:i/>
          <w:iCs/>
          <w:lang w:val="en-IE"/>
        </w:rPr>
        <w:t xml:space="preserve">Mycobacterium </w:t>
      </w:r>
      <w:r w:rsidRPr="00882D2B">
        <w:rPr>
          <w:lang w:val="en-IE"/>
        </w:rPr>
        <w:t>spp.</w:t>
      </w:r>
      <w:r w:rsidRPr="00882D2B">
        <w:rPr>
          <w:i/>
          <w:iCs/>
          <w:lang w:val="en-IE"/>
        </w:rPr>
        <w:t xml:space="preserve"> </w:t>
      </w:r>
      <w:r w:rsidRPr="00882D2B">
        <w:rPr>
          <w:lang w:val="en-IE"/>
        </w:rPr>
        <w:t xml:space="preserve">may be suspected microscopically on direct smears from clinical samples and on prepared tissue materials using the classic acid-fast </w:t>
      </w:r>
      <w:proofErr w:type="spellStart"/>
      <w:r w:rsidRPr="00882D2B">
        <w:rPr>
          <w:lang w:val="en-IE"/>
        </w:rPr>
        <w:t>Ziehl</w:t>
      </w:r>
      <w:proofErr w:type="spellEnd"/>
      <w:r w:rsidRPr="00882D2B">
        <w:rPr>
          <w:lang w:val="en-IE"/>
        </w:rPr>
        <w:t>–</w:t>
      </w:r>
      <w:proofErr w:type="spellStart"/>
      <w:r w:rsidRPr="00882D2B">
        <w:rPr>
          <w:lang w:val="en-IE"/>
        </w:rPr>
        <w:t>Neelsen</w:t>
      </w:r>
      <w:proofErr w:type="spellEnd"/>
      <w:r w:rsidRPr="00882D2B">
        <w:rPr>
          <w:lang w:val="en-IE"/>
        </w:rPr>
        <w:t xml:space="preserve"> stain, but a fluorescent acid-fast stain </w:t>
      </w:r>
      <w:r w:rsidRPr="00882D2B">
        <w:rPr>
          <w:lang w:val="en-IE"/>
        </w:rPr>
        <w:lastRenderedPageBreak/>
        <w:t xml:space="preserve">may also be used. </w:t>
      </w:r>
      <w:proofErr w:type="spellStart"/>
      <w:r w:rsidRPr="00882D2B">
        <w:rPr>
          <w:lang w:val="en-IE"/>
        </w:rPr>
        <w:t>Immunoperoxidase</w:t>
      </w:r>
      <w:proofErr w:type="spellEnd"/>
      <w:r w:rsidRPr="00882D2B">
        <w:rPr>
          <w:lang w:val="en-IE"/>
        </w:rPr>
        <w:t xml:space="preserve"> techniques may also give satisfactory results. The presumptive diagnosis of </w:t>
      </w:r>
      <w:proofErr w:type="spellStart"/>
      <w:r w:rsidRPr="00882D2B">
        <w:rPr>
          <w:lang w:val="en-IE"/>
        </w:rPr>
        <w:t>mycobacteriosis</w:t>
      </w:r>
      <w:proofErr w:type="spellEnd"/>
      <w:r w:rsidRPr="00882D2B">
        <w:rPr>
          <w:lang w:val="en-IE"/>
        </w:rPr>
        <w:t xml:space="preserve"> can be made</w:t>
      </w:r>
      <w:r>
        <w:rPr>
          <w:lang w:val="en-IE"/>
        </w:rPr>
        <w:t xml:space="preserve"> with haematoxylin and eosin staining</w:t>
      </w:r>
      <w:r w:rsidRPr="00882D2B">
        <w:rPr>
          <w:lang w:val="en-IE"/>
        </w:rPr>
        <w:t xml:space="preserve"> if the tissue has characteristic histological lesions </w:t>
      </w:r>
      <w:r>
        <w:rPr>
          <w:lang w:val="en-IE"/>
        </w:rPr>
        <w:t xml:space="preserve">representing the animal’s immune response to the infection </w:t>
      </w:r>
      <w:r w:rsidRPr="00882D2B">
        <w:rPr>
          <w:lang w:val="en-IE"/>
        </w:rPr>
        <w:t xml:space="preserve">(caseous necrosis, mineralisation, epithelioid cells, multinucleated giant cells and macrophages). As lesions are often paucibacillary, acid-fast organisms may not be detected in histological sections, </w:t>
      </w:r>
      <w:r>
        <w:rPr>
          <w:lang w:val="en-IE"/>
        </w:rPr>
        <w:t xml:space="preserve">even </w:t>
      </w:r>
      <w:r w:rsidRPr="00882D2B">
        <w:rPr>
          <w:lang w:val="en-IE"/>
        </w:rPr>
        <w:t xml:space="preserve">though </w:t>
      </w:r>
      <w:r>
        <w:rPr>
          <w:lang w:val="en-IE"/>
        </w:rPr>
        <w:t xml:space="preserve">MTBC organisms </w:t>
      </w:r>
      <w:r w:rsidRPr="00882D2B">
        <w:rPr>
          <w:lang w:val="en-IE"/>
        </w:rPr>
        <w:t>can be isolated in culture. However, large numbers of acid-fast organisms are seen in lesions in primates, felids, mustelids (badgers) and marsupials (brush-tailed possums).</w:t>
      </w:r>
    </w:p>
    <w:p w14:paraId="3C3980F4" w14:textId="12D386BB" w:rsidR="0015316B" w:rsidRPr="00882D2B" w:rsidRDefault="0015316B" w:rsidP="001605F5">
      <w:pPr>
        <w:pStyle w:val="11"/>
        <w:keepNext/>
        <w:tabs>
          <w:tab w:val="left" w:pos="720"/>
          <w:tab w:val="left" w:pos="1440"/>
          <w:tab w:val="center" w:pos="4748"/>
        </w:tabs>
        <w:rPr>
          <w:lang w:val="en-IE"/>
        </w:rPr>
      </w:pPr>
      <w:r w:rsidRPr="00882D2B">
        <w:rPr>
          <w:lang w:val="en-IE"/>
        </w:rPr>
        <w:t>1.2.</w:t>
      </w:r>
      <w:r w:rsidRPr="00882D2B">
        <w:rPr>
          <w:lang w:val="en-IE"/>
        </w:rPr>
        <w:tab/>
        <w:t>Culture</w:t>
      </w:r>
    </w:p>
    <w:p w14:paraId="72267963" w14:textId="77777777" w:rsidR="006B263A" w:rsidRDefault="006B263A" w:rsidP="006B263A">
      <w:pPr>
        <w:pStyle w:val="11Para"/>
        <w:rPr>
          <w:lang w:val="en-IE"/>
        </w:rPr>
      </w:pPr>
      <w:r>
        <w:rPr>
          <w:lang w:val="en-IE"/>
        </w:rPr>
        <w:t xml:space="preserve">Successful recovery of mycobacteria by bacteriological culture depends on the sampling technique </w:t>
      </w:r>
      <w:r w:rsidRPr="00C842C6">
        <w:rPr>
          <w:lang w:val="en-IE"/>
        </w:rPr>
        <w:t>at the abattoir</w:t>
      </w:r>
      <w:r>
        <w:rPr>
          <w:lang w:val="en-IE"/>
        </w:rPr>
        <w:t>,</w:t>
      </w:r>
      <w:r w:rsidRPr="00C842C6">
        <w:rPr>
          <w:lang w:val="en-IE"/>
        </w:rPr>
        <w:t xml:space="preserve"> the </w:t>
      </w:r>
      <w:r>
        <w:rPr>
          <w:lang w:val="en-IE"/>
        </w:rPr>
        <w:t>type</w:t>
      </w:r>
      <w:r w:rsidRPr="00C842C6">
        <w:rPr>
          <w:lang w:val="en-IE"/>
        </w:rPr>
        <w:t xml:space="preserve"> of tissue s</w:t>
      </w:r>
      <w:r>
        <w:rPr>
          <w:lang w:val="en-IE"/>
        </w:rPr>
        <w:t>pecimens collected and</w:t>
      </w:r>
      <w:r w:rsidRPr="00C842C6">
        <w:rPr>
          <w:lang w:val="en-IE"/>
        </w:rPr>
        <w:t xml:space="preserve"> the</w:t>
      </w:r>
      <w:r>
        <w:rPr>
          <w:lang w:val="en-IE"/>
        </w:rPr>
        <w:t xml:space="preserve">ir </w:t>
      </w:r>
      <w:r w:rsidRPr="00C842C6">
        <w:rPr>
          <w:lang w:val="en-IE"/>
        </w:rPr>
        <w:t xml:space="preserve">preservation </w:t>
      </w:r>
      <w:r>
        <w:rPr>
          <w:lang w:val="en-IE"/>
        </w:rPr>
        <w:t>in transit to the laboratory (</w:t>
      </w:r>
      <w:r w:rsidRPr="00C842C6">
        <w:rPr>
          <w:lang w:val="en-IE"/>
        </w:rPr>
        <w:t>refrigeration or</w:t>
      </w:r>
      <w:r>
        <w:rPr>
          <w:lang w:val="en-IE"/>
        </w:rPr>
        <w:t xml:space="preserve"> </w:t>
      </w:r>
      <w:r w:rsidRPr="00C842C6">
        <w:rPr>
          <w:lang w:val="en-IE"/>
        </w:rPr>
        <w:t>freezing</w:t>
      </w:r>
      <w:r>
        <w:rPr>
          <w:lang w:val="en-IE"/>
        </w:rPr>
        <w:t>)</w:t>
      </w:r>
      <w:r w:rsidRPr="00C842C6">
        <w:rPr>
          <w:lang w:val="en-IE"/>
        </w:rPr>
        <w:t>, together with the chemical decontamination</w:t>
      </w:r>
      <w:r>
        <w:rPr>
          <w:lang w:val="en-IE"/>
        </w:rPr>
        <w:t xml:space="preserve"> </w:t>
      </w:r>
      <w:r w:rsidRPr="00C842C6">
        <w:rPr>
          <w:lang w:val="en-IE"/>
        </w:rPr>
        <w:t xml:space="preserve">step </w:t>
      </w:r>
      <w:r>
        <w:rPr>
          <w:lang w:val="en-IE"/>
        </w:rPr>
        <w:t>and</w:t>
      </w:r>
      <w:r w:rsidRPr="00C842C6">
        <w:rPr>
          <w:lang w:val="en-IE"/>
        </w:rPr>
        <w:t xml:space="preserve"> the type</w:t>
      </w:r>
      <w:r>
        <w:rPr>
          <w:lang w:val="en-IE"/>
        </w:rPr>
        <w:t xml:space="preserve"> </w:t>
      </w:r>
      <w:r w:rsidRPr="00C842C6">
        <w:rPr>
          <w:lang w:val="en-IE"/>
        </w:rPr>
        <w:t>of culture media chosen to grow mycobacteria</w:t>
      </w:r>
      <w:r>
        <w:rPr>
          <w:lang w:val="en-IE"/>
        </w:rPr>
        <w:t>.</w:t>
      </w:r>
    </w:p>
    <w:p w14:paraId="490BAD92" w14:textId="77777777" w:rsidR="006B263A" w:rsidRDefault="006B263A" w:rsidP="006B263A">
      <w:pPr>
        <w:pStyle w:val="11Para"/>
        <w:rPr>
          <w:lang w:val="en-IE"/>
        </w:rPr>
      </w:pPr>
      <w:r>
        <w:rPr>
          <w:lang w:val="en-IE"/>
        </w:rPr>
        <w:t xml:space="preserve">The best tissues for the isolation of </w:t>
      </w:r>
      <w:r w:rsidRPr="005435D2">
        <w:rPr>
          <w:lang w:val="en-IE"/>
        </w:rPr>
        <w:t>MTBC organisms</w:t>
      </w:r>
      <w:r>
        <w:rPr>
          <w:lang w:val="en-IE"/>
        </w:rPr>
        <w:t xml:space="preserve"> are mainly collected during post-mortem examination from </w:t>
      </w:r>
      <w:r w:rsidRPr="00A971AE">
        <w:rPr>
          <w:lang w:val="en-IE"/>
        </w:rPr>
        <w:t xml:space="preserve">animals </w:t>
      </w:r>
      <w:r>
        <w:rPr>
          <w:lang w:val="en-IE"/>
        </w:rPr>
        <w:t xml:space="preserve">tested positive to </w:t>
      </w:r>
      <w:r w:rsidRPr="00A971AE">
        <w:rPr>
          <w:lang w:val="en-IE"/>
        </w:rPr>
        <w:t xml:space="preserve">tuberculin or interferon </w:t>
      </w:r>
      <w:r>
        <w:rPr>
          <w:lang w:val="en-IE"/>
        </w:rPr>
        <w:t xml:space="preserve">gamma </w:t>
      </w:r>
      <w:r w:rsidRPr="00A971AE">
        <w:rPr>
          <w:lang w:val="en-IE"/>
        </w:rPr>
        <w:t>test</w:t>
      </w:r>
      <w:r>
        <w:rPr>
          <w:lang w:val="en-IE"/>
        </w:rPr>
        <w:t>s. A</w:t>
      </w:r>
      <w:r w:rsidRPr="00C842C6">
        <w:rPr>
          <w:lang w:val="en-IE"/>
        </w:rPr>
        <w:t>bnormal lymph nodes</w:t>
      </w:r>
      <w:r>
        <w:rPr>
          <w:lang w:val="en-IE"/>
        </w:rPr>
        <w:t xml:space="preserve"> </w:t>
      </w:r>
      <w:r w:rsidRPr="00C842C6">
        <w:rPr>
          <w:lang w:val="en-IE"/>
        </w:rPr>
        <w:t>and parenchymatous organs with TB-compatible lesions</w:t>
      </w:r>
      <w:r>
        <w:rPr>
          <w:lang w:val="en-IE"/>
        </w:rPr>
        <w:t xml:space="preserve"> </w:t>
      </w:r>
      <w:r w:rsidRPr="00846EC3">
        <w:rPr>
          <w:lang w:val="en-IE"/>
        </w:rPr>
        <w:t>should be collected for examination and culture</w:t>
      </w:r>
      <w:r w:rsidRPr="00C842C6">
        <w:rPr>
          <w:lang w:val="en-IE"/>
        </w:rPr>
        <w:t>. If pathological lesions are not</w:t>
      </w:r>
      <w:r>
        <w:rPr>
          <w:lang w:val="en-IE"/>
        </w:rPr>
        <w:t xml:space="preserve"> </w:t>
      </w:r>
      <w:r w:rsidRPr="00C842C6">
        <w:rPr>
          <w:lang w:val="en-IE"/>
        </w:rPr>
        <w:t xml:space="preserve">detected then, specific lymph nodes </w:t>
      </w:r>
      <w:r>
        <w:rPr>
          <w:lang w:val="en-IE"/>
        </w:rPr>
        <w:t xml:space="preserve">from the head, respiratory and/or digestive locations </w:t>
      </w:r>
      <w:r w:rsidRPr="00C842C6">
        <w:rPr>
          <w:lang w:val="en-IE"/>
        </w:rPr>
        <w:t xml:space="preserve">should be taken for </w:t>
      </w:r>
      <w:r>
        <w:rPr>
          <w:lang w:val="en-IE"/>
        </w:rPr>
        <w:t xml:space="preserve">the same purpose. Pets or zoo animals with suspected tuberculosis can be tested with biopsy specimens from lymph nodes, oral swabs or </w:t>
      </w:r>
      <w:proofErr w:type="spellStart"/>
      <w:r>
        <w:rPr>
          <w:lang w:val="en-IE"/>
        </w:rPr>
        <w:t>tracheo</w:t>
      </w:r>
      <w:proofErr w:type="spellEnd"/>
      <w:r>
        <w:rPr>
          <w:lang w:val="en-IE"/>
        </w:rPr>
        <w:t>-bronchial wash.</w:t>
      </w:r>
    </w:p>
    <w:p w14:paraId="600E9560" w14:textId="77777777" w:rsidR="006B263A" w:rsidRPr="00A971AE" w:rsidRDefault="006B263A" w:rsidP="006B263A">
      <w:pPr>
        <w:pStyle w:val="11Para"/>
        <w:rPr>
          <w:lang w:val="en-IE"/>
        </w:rPr>
      </w:pPr>
      <w:r w:rsidRPr="00A971AE">
        <w:rPr>
          <w:lang w:val="en-IE"/>
        </w:rPr>
        <w:t>To process specimens for culture, the tissue</w:t>
      </w:r>
      <w:r w:rsidRPr="001E6E1F">
        <w:rPr>
          <w:lang w:val="en-IE"/>
        </w:rPr>
        <w:t xml:space="preserve"> samples are prepared by removal of extraneous material (e.g. fat), cut into small pieces</w:t>
      </w:r>
      <w:r>
        <w:rPr>
          <w:lang w:val="en-IE"/>
        </w:rPr>
        <w:t xml:space="preserve">, pooled, and </w:t>
      </w:r>
      <w:r w:rsidRPr="00A971AE">
        <w:rPr>
          <w:lang w:val="en-IE"/>
        </w:rPr>
        <w:t xml:space="preserve">homogenised </w:t>
      </w:r>
      <w:r>
        <w:rPr>
          <w:lang w:val="en-IE"/>
        </w:rPr>
        <w:t>using a s</w:t>
      </w:r>
      <w:r w:rsidRPr="001E6E1F">
        <w:rPr>
          <w:lang w:val="en-IE"/>
        </w:rPr>
        <w:t xml:space="preserve">tomacher or tissue grinder </w:t>
      </w:r>
      <w:r>
        <w:rPr>
          <w:lang w:val="en-IE"/>
        </w:rPr>
        <w:t xml:space="preserve">(e.g. </w:t>
      </w:r>
      <w:r w:rsidRPr="00A971AE">
        <w:rPr>
          <w:lang w:val="en-IE"/>
        </w:rPr>
        <w:t>mortar</w:t>
      </w:r>
      <w:r>
        <w:rPr>
          <w:lang w:val="en-IE"/>
        </w:rPr>
        <w:t>,</w:t>
      </w:r>
      <w:r w:rsidRPr="00A971AE">
        <w:rPr>
          <w:lang w:val="en-IE"/>
        </w:rPr>
        <w:t xml:space="preserve"> pestle, blender</w:t>
      </w:r>
      <w:r>
        <w:rPr>
          <w:lang w:val="en-IE"/>
        </w:rPr>
        <w:t>, etc.)</w:t>
      </w:r>
      <w:r w:rsidRPr="001E6E1F">
        <w:rPr>
          <w:lang w:val="en-IE"/>
        </w:rPr>
        <w:t xml:space="preserve"> with sterile PBS</w:t>
      </w:r>
      <w:r w:rsidRPr="00A971AE">
        <w:rPr>
          <w:lang w:val="en-IE"/>
        </w:rPr>
        <w:t xml:space="preserve">, followed by </w:t>
      </w:r>
      <w:r>
        <w:rPr>
          <w:lang w:val="en-IE"/>
        </w:rPr>
        <w:t xml:space="preserve">a mandatory </w:t>
      </w:r>
      <w:r w:rsidRPr="00A971AE">
        <w:rPr>
          <w:lang w:val="en-IE"/>
        </w:rPr>
        <w:t xml:space="preserve">decontamination. The </w:t>
      </w:r>
      <w:r>
        <w:rPr>
          <w:lang w:val="en-IE"/>
        </w:rPr>
        <w:t xml:space="preserve">purpose of the </w:t>
      </w:r>
      <w:r w:rsidRPr="00A971AE">
        <w:rPr>
          <w:lang w:val="en-IE"/>
        </w:rPr>
        <w:t xml:space="preserve">decontamination </w:t>
      </w:r>
      <w:r>
        <w:rPr>
          <w:lang w:val="en-IE"/>
        </w:rPr>
        <w:t>step</w:t>
      </w:r>
      <w:r w:rsidRPr="00A971AE">
        <w:rPr>
          <w:lang w:val="en-IE"/>
        </w:rPr>
        <w:t xml:space="preserve"> </w:t>
      </w:r>
      <w:r>
        <w:rPr>
          <w:lang w:val="en-IE"/>
        </w:rPr>
        <w:t xml:space="preserve">is to avoid growth of other bacteria present in the tissue samples. Due to </w:t>
      </w:r>
      <w:r w:rsidRPr="00A971AE">
        <w:rPr>
          <w:lang w:val="en-IE"/>
        </w:rPr>
        <w:t xml:space="preserve">the </w:t>
      </w:r>
      <w:r>
        <w:rPr>
          <w:lang w:val="en-IE"/>
        </w:rPr>
        <w:t xml:space="preserve">cell wall </w:t>
      </w:r>
      <w:r w:rsidRPr="00A971AE">
        <w:rPr>
          <w:lang w:val="en-IE"/>
        </w:rPr>
        <w:t xml:space="preserve">characteristic </w:t>
      </w:r>
      <w:r>
        <w:rPr>
          <w:lang w:val="en-IE"/>
        </w:rPr>
        <w:t>of</w:t>
      </w:r>
      <w:r w:rsidRPr="00A971AE">
        <w:rPr>
          <w:lang w:val="en-IE"/>
        </w:rPr>
        <w:t xml:space="preserve"> mycobacteria</w:t>
      </w:r>
      <w:r>
        <w:rPr>
          <w:lang w:val="en-IE"/>
        </w:rPr>
        <w:t xml:space="preserve">, they </w:t>
      </w:r>
      <w:r w:rsidRPr="00A971AE">
        <w:rPr>
          <w:lang w:val="en-IE"/>
        </w:rPr>
        <w:t xml:space="preserve">can resist certain detergents or extreme changes in the </w:t>
      </w:r>
      <w:proofErr w:type="spellStart"/>
      <w:r w:rsidRPr="00A971AE">
        <w:rPr>
          <w:lang w:val="en-IE"/>
        </w:rPr>
        <w:t>pH.</w:t>
      </w:r>
      <w:proofErr w:type="spellEnd"/>
      <w:r>
        <w:rPr>
          <w:lang w:val="en-IE"/>
        </w:rPr>
        <w:t xml:space="preserve"> </w:t>
      </w:r>
      <w:r w:rsidRPr="00A971AE">
        <w:rPr>
          <w:lang w:val="en-IE"/>
        </w:rPr>
        <w:t xml:space="preserve">A variety of protocols has been described, for example treatment with 0.375–0.75% </w:t>
      </w:r>
      <w:proofErr w:type="spellStart"/>
      <w:r w:rsidRPr="00A971AE">
        <w:rPr>
          <w:lang w:val="en-IE"/>
        </w:rPr>
        <w:t>hexadecylpyridinium</w:t>
      </w:r>
      <w:proofErr w:type="spellEnd"/>
      <w:r w:rsidRPr="00A971AE">
        <w:rPr>
          <w:lang w:val="en-IE"/>
        </w:rPr>
        <w:t>-chloride detergent</w:t>
      </w:r>
      <w:r>
        <w:rPr>
          <w:lang w:val="en-IE"/>
        </w:rPr>
        <w:t xml:space="preserve"> (HPC)</w:t>
      </w:r>
      <w:r w:rsidRPr="00A971AE">
        <w:rPr>
          <w:lang w:val="en-IE"/>
        </w:rPr>
        <w:t>, 2–4% sodium hydroxide</w:t>
      </w:r>
      <w:r>
        <w:rPr>
          <w:lang w:val="en-IE"/>
        </w:rPr>
        <w:t>,</w:t>
      </w:r>
      <w:r w:rsidRPr="00A971AE">
        <w:rPr>
          <w:lang w:val="en-IE"/>
        </w:rPr>
        <w:t xml:space="preserve"> 5% oxalic acid</w:t>
      </w:r>
      <w:r>
        <w:rPr>
          <w:lang w:val="en-IE"/>
        </w:rPr>
        <w:t xml:space="preserve"> or 4% sulfuric acid, among others. It is important to control the time of exposure of tissues to the decontaminant to avoid death of the mycobacteria. Depending on the amount of tissue and decontaminant it usually ranges between 10-20 minutes.</w:t>
      </w:r>
      <w:r w:rsidRPr="00A971AE">
        <w:rPr>
          <w:lang w:val="en-IE"/>
        </w:rPr>
        <w:t xml:space="preserve"> Where acid or alkali methods are used they must then be restored to a neutral pH after </w:t>
      </w:r>
      <w:r>
        <w:rPr>
          <w:lang w:val="en-IE"/>
        </w:rPr>
        <w:t>decontamination</w:t>
      </w:r>
      <w:r w:rsidRPr="00A971AE">
        <w:rPr>
          <w:lang w:val="en-IE"/>
        </w:rPr>
        <w:t xml:space="preserve"> at room temperature. The suspension is centrifuged, the supernatant is discarded, and the sediment is used for culture and microscopic examination.</w:t>
      </w:r>
    </w:p>
    <w:p w14:paraId="2A856DD3" w14:textId="77777777" w:rsidR="006B263A" w:rsidRPr="00882D2B" w:rsidRDefault="006B263A" w:rsidP="006B263A">
      <w:pPr>
        <w:pStyle w:val="11Para"/>
        <w:rPr>
          <w:lang w:val="en-IE"/>
        </w:rPr>
      </w:pPr>
      <w:r w:rsidRPr="00882D2B">
        <w:rPr>
          <w:lang w:val="en-IE"/>
        </w:rPr>
        <w:t>For primary isolation, the sediment is usually inoculated on to a set of solid</w:t>
      </w:r>
      <w:r>
        <w:rPr>
          <w:lang w:val="en-IE"/>
        </w:rPr>
        <w:t xml:space="preserve"> and/or liquid media. Different solid </w:t>
      </w:r>
      <w:r w:rsidRPr="00A971AE">
        <w:rPr>
          <w:lang w:val="en-IE"/>
        </w:rPr>
        <w:t>egg-based media</w:t>
      </w:r>
      <w:r>
        <w:rPr>
          <w:lang w:val="en-IE"/>
        </w:rPr>
        <w:t xml:space="preserve"> can be used</w:t>
      </w:r>
      <w:r w:rsidRPr="00882D2B">
        <w:rPr>
          <w:lang w:val="en-IE"/>
        </w:rPr>
        <w:t xml:space="preserve"> such as Lowenstein–Jensen, </w:t>
      </w:r>
      <w:proofErr w:type="spellStart"/>
      <w:r w:rsidRPr="00882D2B">
        <w:rPr>
          <w:lang w:val="en-IE"/>
        </w:rPr>
        <w:t>Coletsos</w:t>
      </w:r>
      <w:proofErr w:type="spellEnd"/>
      <w:r w:rsidRPr="00882D2B">
        <w:rPr>
          <w:lang w:val="en-IE"/>
        </w:rPr>
        <w:t xml:space="preserve"> base or </w:t>
      </w:r>
      <w:proofErr w:type="spellStart"/>
      <w:r w:rsidRPr="00882D2B">
        <w:rPr>
          <w:lang w:val="en-IE"/>
        </w:rPr>
        <w:t>Stonebrink</w:t>
      </w:r>
      <w:proofErr w:type="spellEnd"/>
      <w:r>
        <w:rPr>
          <w:lang w:val="en-IE"/>
        </w:rPr>
        <w:t>. T</w:t>
      </w:r>
      <w:r w:rsidRPr="00882D2B">
        <w:rPr>
          <w:lang w:val="en-IE"/>
        </w:rPr>
        <w:t xml:space="preserve">hese media should contain either pyruvate or pyruvate and glycerol. </w:t>
      </w:r>
      <w:r>
        <w:rPr>
          <w:lang w:val="en-IE"/>
        </w:rPr>
        <w:t>Solid</w:t>
      </w:r>
      <w:r w:rsidRPr="00882D2B">
        <w:rPr>
          <w:lang w:val="en-IE"/>
        </w:rPr>
        <w:t xml:space="preserve"> agar-based medi</w:t>
      </w:r>
      <w:r>
        <w:rPr>
          <w:lang w:val="en-IE"/>
        </w:rPr>
        <w:t>a</w:t>
      </w:r>
      <w:r w:rsidRPr="00882D2B">
        <w:rPr>
          <w:lang w:val="en-IE"/>
        </w:rPr>
        <w:t xml:space="preserve"> such as Middlebrook 7H10 or 7H11 or blood-based agar medium may also be used (Cousins </w:t>
      </w:r>
      <w:r w:rsidRPr="00882D2B">
        <w:rPr>
          <w:i/>
          <w:iCs/>
          <w:lang w:val="en-IE"/>
        </w:rPr>
        <w:t>et al</w:t>
      </w:r>
      <w:r w:rsidRPr="00882D2B">
        <w:rPr>
          <w:lang w:val="en-IE"/>
        </w:rPr>
        <w:t>., 1989</w:t>
      </w:r>
      <w:r>
        <w:rPr>
          <w:lang w:val="en-IE"/>
        </w:rPr>
        <w:t xml:space="preserve">, Gormley </w:t>
      </w:r>
      <w:r>
        <w:rPr>
          <w:i/>
          <w:iCs/>
          <w:lang w:val="en-IE"/>
        </w:rPr>
        <w:t>et al.</w:t>
      </w:r>
      <w:r>
        <w:rPr>
          <w:lang w:val="en-IE"/>
        </w:rPr>
        <w:t>, 2014</w:t>
      </w:r>
      <w:r w:rsidRPr="00882D2B">
        <w:rPr>
          <w:lang w:val="en-IE"/>
        </w:rPr>
        <w:t>).</w:t>
      </w:r>
    </w:p>
    <w:p w14:paraId="5BD30B59" w14:textId="1CC44E09" w:rsidR="006B263A" w:rsidRPr="00A971AE" w:rsidRDefault="006B263A" w:rsidP="006B263A">
      <w:pPr>
        <w:pStyle w:val="11Para"/>
        <w:rPr>
          <w:lang w:val="en-IE"/>
        </w:rPr>
      </w:pPr>
      <w:r w:rsidRPr="00A971AE">
        <w:rPr>
          <w:lang w:val="en-IE"/>
        </w:rPr>
        <w:t>Liquid culture systems are used routinely in some laboratories; in these systems growth is measured by fluorometric means. Liquid media offer a shorter time of growth and relatively rapid mycobacterial detection. However, their disadvantages are a higher contamination rate and the impossibility of making an initial diagnosis based on the colonies’ morphological characteristics.</w:t>
      </w:r>
      <w:r w:rsidR="0004207C">
        <w:rPr>
          <w:lang w:val="en-IE"/>
        </w:rPr>
        <w:t xml:space="preserve"> </w:t>
      </w:r>
      <w:r w:rsidR="00E97DA4" w:rsidRPr="00FC05AF">
        <w:rPr>
          <w:highlight w:val="yellow"/>
          <w:u w:val="double"/>
          <w:lang w:val="en-IE"/>
        </w:rPr>
        <w:t>PCR is a useful method to confirm bacterial growth in liquid media.</w:t>
      </w:r>
      <w:r>
        <w:rPr>
          <w:lang w:val="en-IE"/>
        </w:rPr>
        <w:t xml:space="preserve"> Additionally, it should be considered that some decontaminants (e.g. HPC) are not compatible with some liquid systems.</w:t>
      </w:r>
      <w:r w:rsidR="00DF49A9">
        <w:rPr>
          <w:lang w:val="en-IE"/>
        </w:rPr>
        <w:t xml:space="preserve"> </w:t>
      </w:r>
      <w:r w:rsidR="00FC05AF" w:rsidRPr="00FC05AF">
        <w:rPr>
          <w:strike/>
          <w:highlight w:val="yellow"/>
          <w:lang w:val="en-IE"/>
        </w:rPr>
        <w:t>PCR is a useful method to confirm bacterial growth in liquid media.</w:t>
      </w:r>
    </w:p>
    <w:p w14:paraId="4A672B0D" w14:textId="304A1B91" w:rsidR="006B263A" w:rsidRPr="00882D2B" w:rsidRDefault="006B263A" w:rsidP="006B263A">
      <w:pPr>
        <w:pStyle w:val="11Para"/>
        <w:rPr>
          <w:lang w:val="en-IE"/>
        </w:rPr>
      </w:pPr>
      <w:r w:rsidRPr="00882D2B">
        <w:rPr>
          <w:lang w:val="en-IE"/>
        </w:rPr>
        <w:t xml:space="preserve">Cultures are incubated for a minimum of </w:t>
      </w:r>
      <w:r>
        <w:rPr>
          <w:lang w:val="en-IE"/>
        </w:rPr>
        <w:t>6</w:t>
      </w:r>
      <w:r w:rsidRPr="00882D2B">
        <w:rPr>
          <w:lang w:val="en-IE"/>
        </w:rPr>
        <w:t> weeks</w:t>
      </w:r>
      <w:r>
        <w:rPr>
          <w:lang w:val="en-IE"/>
        </w:rPr>
        <w:t>,</w:t>
      </w:r>
      <w:r w:rsidRPr="00882D2B">
        <w:rPr>
          <w:lang w:val="en-IE"/>
        </w:rPr>
        <w:t xml:space="preserve"> preferably for 10–12 weeks</w:t>
      </w:r>
      <w:r w:rsidRPr="00EC0DF9">
        <w:rPr>
          <w:lang w:val="en-IE"/>
        </w:rPr>
        <w:t xml:space="preserve"> </w:t>
      </w:r>
      <w:r>
        <w:rPr>
          <w:lang w:val="en-IE"/>
        </w:rPr>
        <w:t xml:space="preserve">(and up to 16 weeks when there is a suspicion of </w:t>
      </w:r>
      <w:r w:rsidR="00EB77B9">
        <w:rPr>
          <w:i/>
          <w:iCs/>
          <w:lang w:val="en-IE"/>
        </w:rPr>
        <w:t>M. </w:t>
      </w:r>
      <w:proofErr w:type="spellStart"/>
      <w:r w:rsidRPr="00AB3ACA">
        <w:rPr>
          <w:i/>
          <w:iCs/>
          <w:lang w:val="en-IE"/>
        </w:rPr>
        <w:t>microti</w:t>
      </w:r>
      <w:proofErr w:type="spellEnd"/>
      <w:r w:rsidRPr="00882D2B">
        <w:rPr>
          <w:lang w:val="en-IE"/>
        </w:rPr>
        <w:t>) at 37°C with or without CO</w:t>
      </w:r>
      <w:r w:rsidRPr="00882D2B">
        <w:rPr>
          <w:szCs w:val="14"/>
          <w:vertAlign w:val="subscript"/>
          <w:lang w:val="en-IE"/>
        </w:rPr>
        <w:t>2</w:t>
      </w:r>
      <w:r w:rsidRPr="00882D2B">
        <w:rPr>
          <w:lang w:val="en-IE"/>
        </w:rPr>
        <w:t xml:space="preserve">. </w:t>
      </w:r>
      <w:r>
        <w:rPr>
          <w:szCs w:val="14"/>
          <w:lang w:val="en-IE"/>
        </w:rPr>
        <w:t>The incubation period also depends on the use of liquid or solid media</w:t>
      </w:r>
      <w:r>
        <w:rPr>
          <w:lang w:val="en-IE"/>
        </w:rPr>
        <w:t xml:space="preserve">. </w:t>
      </w:r>
      <w:r w:rsidRPr="00882D2B">
        <w:rPr>
          <w:lang w:val="en-IE"/>
        </w:rPr>
        <w:t xml:space="preserve">The media should be in tightly closed tubes to avoid desiccation. </w:t>
      </w:r>
      <w:r>
        <w:rPr>
          <w:lang w:val="en-IE"/>
        </w:rPr>
        <w:t>When solid media are used</w:t>
      </w:r>
      <w:r w:rsidRPr="00882D2B">
        <w:rPr>
          <w:lang w:val="en-IE"/>
        </w:rPr>
        <w:t xml:space="preserve"> </w:t>
      </w:r>
      <w:r>
        <w:rPr>
          <w:lang w:val="en-IE"/>
        </w:rPr>
        <w:t>s</w:t>
      </w:r>
      <w:r w:rsidRPr="00882D2B">
        <w:rPr>
          <w:lang w:val="en-IE"/>
        </w:rPr>
        <w:t xml:space="preserve">lopes are examined for macroscopic growth at weekly intervals during the incubation period. When growth is visible, smears </w:t>
      </w:r>
      <w:r>
        <w:rPr>
          <w:lang w:val="en-IE"/>
        </w:rPr>
        <w:t>can be</w:t>
      </w:r>
      <w:r w:rsidRPr="00882D2B">
        <w:rPr>
          <w:lang w:val="en-IE"/>
        </w:rPr>
        <w:t xml:space="preserve"> prepared and stained by the </w:t>
      </w:r>
      <w:proofErr w:type="spellStart"/>
      <w:r w:rsidRPr="00882D2B">
        <w:rPr>
          <w:lang w:val="en-IE"/>
        </w:rPr>
        <w:t>Ziehl</w:t>
      </w:r>
      <w:proofErr w:type="spellEnd"/>
      <w:r w:rsidRPr="00882D2B">
        <w:rPr>
          <w:lang w:val="en-IE"/>
        </w:rPr>
        <w:t>–</w:t>
      </w:r>
      <w:proofErr w:type="spellStart"/>
      <w:r w:rsidRPr="00882D2B">
        <w:rPr>
          <w:lang w:val="en-IE"/>
        </w:rPr>
        <w:t>Neelsen</w:t>
      </w:r>
      <w:proofErr w:type="spellEnd"/>
      <w:r w:rsidRPr="00882D2B">
        <w:rPr>
          <w:lang w:val="en-IE"/>
        </w:rPr>
        <w:t xml:space="preserve"> technique. </w:t>
      </w:r>
      <w:r>
        <w:rPr>
          <w:lang w:val="en-IE"/>
        </w:rPr>
        <w:t xml:space="preserve">Alternatively, DNA can be extracted from colonies and any specific PCR for mycobacteria or </w:t>
      </w:r>
      <w:r w:rsidRPr="002267E1">
        <w:rPr>
          <w:lang w:val="en-IE"/>
        </w:rPr>
        <w:t>MTBC</w:t>
      </w:r>
      <w:r>
        <w:rPr>
          <w:lang w:val="en-IE"/>
        </w:rPr>
        <w:t xml:space="preserve"> species can be performed (see section 1.3 Nucleic acid recognition methods). </w:t>
      </w:r>
      <w:r w:rsidRPr="00882D2B">
        <w:rPr>
          <w:lang w:val="en-IE"/>
        </w:rPr>
        <w:t xml:space="preserve">Growth of </w:t>
      </w:r>
      <w:r w:rsidRPr="00882D2B">
        <w:rPr>
          <w:i/>
          <w:iCs/>
          <w:lang w:val="en-IE"/>
        </w:rPr>
        <w:t>M. </w:t>
      </w:r>
      <w:proofErr w:type="spellStart"/>
      <w:r w:rsidRPr="00882D2B">
        <w:rPr>
          <w:i/>
          <w:iCs/>
          <w:lang w:val="en-IE"/>
        </w:rPr>
        <w:t>bovis</w:t>
      </w:r>
      <w:proofErr w:type="spellEnd"/>
      <w:r w:rsidRPr="00882D2B">
        <w:rPr>
          <w:lang w:val="en-IE"/>
        </w:rPr>
        <w:t xml:space="preserve"> generally occurs within 3–6 weeks of incubation depending on the media used</w:t>
      </w:r>
      <w:r>
        <w:rPr>
          <w:lang w:val="en-IE"/>
        </w:rPr>
        <w:t>, the presence of tuberculosis compatible lesions and/or the initial bacterium load in the tissue specimen</w:t>
      </w:r>
      <w:r w:rsidRPr="00A971AE">
        <w:rPr>
          <w:lang w:val="en-IE"/>
        </w:rPr>
        <w:t>.</w:t>
      </w:r>
    </w:p>
    <w:p w14:paraId="72EB63C4" w14:textId="77777777" w:rsidR="006B263A" w:rsidRPr="00882D2B" w:rsidRDefault="006B263A" w:rsidP="006B263A">
      <w:pPr>
        <w:pStyle w:val="11Para"/>
        <w:rPr>
          <w:lang w:val="en-IE"/>
        </w:rPr>
      </w:pPr>
      <w:r w:rsidRPr="00882D2B">
        <w:rPr>
          <w:lang w:val="en-IE"/>
        </w:rPr>
        <w:t xml:space="preserve">If gross contamination of culture media occurs, the culture process should be repeated using retained </w:t>
      </w:r>
      <w:proofErr w:type="spellStart"/>
      <w:r w:rsidRPr="00882D2B">
        <w:rPr>
          <w:lang w:val="en-IE"/>
        </w:rPr>
        <w:t>inocula</w:t>
      </w:r>
      <w:proofErr w:type="spellEnd"/>
      <w:r w:rsidRPr="00882D2B">
        <w:rPr>
          <w:lang w:val="en-IE"/>
        </w:rPr>
        <w:t xml:space="preserve"> with an alternative decontaminating agent</w:t>
      </w:r>
      <w:r w:rsidRPr="00826D60">
        <w:rPr>
          <w:lang w:val="en-IE"/>
        </w:rPr>
        <w:t xml:space="preserve"> </w:t>
      </w:r>
      <w:r>
        <w:rPr>
          <w:lang w:val="en-IE"/>
        </w:rPr>
        <w:t>or modifying the concentration or time of exposure to the decontaminant</w:t>
      </w:r>
      <w:r w:rsidRPr="00882D2B">
        <w:rPr>
          <w:lang w:val="en-IE"/>
        </w:rPr>
        <w:t>. The limiting factor in isolation is often the poor quality of the samples submitted and every effort should be made to ensure that the laboratory receives good quality samples.</w:t>
      </w:r>
    </w:p>
    <w:p w14:paraId="4B5F526F" w14:textId="1C992DF5" w:rsidR="006B263A" w:rsidRPr="00882D2B" w:rsidRDefault="006B263A" w:rsidP="006B263A">
      <w:pPr>
        <w:pStyle w:val="11Para"/>
        <w:rPr>
          <w:i/>
          <w:iCs/>
          <w:lang w:val="en-IE"/>
        </w:rPr>
      </w:pPr>
      <w:r w:rsidRPr="00882D2B">
        <w:rPr>
          <w:lang w:val="en-IE"/>
        </w:rPr>
        <w:lastRenderedPageBreak/>
        <w:t>Characteristic growth patterns and colonial morphology can provide a presumptive diagnosis;</w:t>
      </w:r>
      <w:r w:rsidRPr="00882D2B">
        <w:rPr>
          <w:i/>
          <w:iCs/>
          <w:lang w:val="en-IE"/>
        </w:rPr>
        <w:t xml:space="preserve"> </w:t>
      </w:r>
      <w:r w:rsidRPr="00882D2B">
        <w:rPr>
          <w:lang w:val="en-IE"/>
        </w:rPr>
        <w:t xml:space="preserve">however every isolate needs to be confirmed. It is often necessary to distinguish </w:t>
      </w:r>
      <w:r w:rsidRPr="00882D2B">
        <w:rPr>
          <w:i/>
          <w:iCs/>
          <w:lang w:val="en-IE"/>
        </w:rPr>
        <w:t>M. </w:t>
      </w:r>
      <w:proofErr w:type="spellStart"/>
      <w:r w:rsidRPr="00882D2B">
        <w:rPr>
          <w:i/>
          <w:iCs/>
          <w:lang w:val="en-IE"/>
        </w:rPr>
        <w:t>bovis</w:t>
      </w:r>
      <w:proofErr w:type="spellEnd"/>
      <w:r w:rsidRPr="00882D2B">
        <w:rPr>
          <w:lang w:val="en-IE"/>
        </w:rPr>
        <w:t xml:space="preserve"> from the other members of the MTBC, including </w:t>
      </w:r>
      <w:r w:rsidRPr="00882D2B">
        <w:rPr>
          <w:i/>
          <w:iCs/>
          <w:lang w:val="en-IE"/>
        </w:rPr>
        <w:t xml:space="preserve">M. tuberculosis, </w:t>
      </w:r>
      <w:r w:rsidRPr="00882D2B">
        <w:rPr>
          <w:i/>
          <w:iCs/>
        </w:rPr>
        <w:t>M</w:t>
      </w:r>
      <w:r>
        <w:rPr>
          <w:i/>
          <w:iCs/>
        </w:rPr>
        <w:t>.</w:t>
      </w:r>
      <w:r w:rsidRPr="00882D2B">
        <w:rPr>
          <w:i/>
          <w:iCs/>
          <w:lang w:val="en-IE"/>
        </w:rPr>
        <w:t> </w:t>
      </w:r>
      <w:proofErr w:type="spellStart"/>
      <w:r w:rsidRPr="00882D2B">
        <w:rPr>
          <w:i/>
          <w:iCs/>
          <w:lang w:val="en-IE"/>
        </w:rPr>
        <w:t>africanum</w:t>
      </w:r>
      <w:proofErr w:type="spellEnd"/>
      <w:r w:rsidRPr="00882D2B">
        <w:rPr>
          <w:lang w:val="en-IE"/>
        </w:rPr>
        <w:t xml:space="preserve"> </w:t>
      </w:r>
      <w:r w:rsidRPr="00882D2B">
        <w:rPr>
          <w:i/>
          <w:iCs/>
          <w:lang w:val="en-IE"/>
        </w:rPr>
        <w:t>M. </w:t>
      </w:r>
      <w:proofErr w:type="spellStart"/>
      <w:r w:rsidRPr="00882D2B">
        <w:rPr>
          <w:i/>
          <w:iCs/>
          <w:lang w:val="en-IE"/>
        </w:rPr>
        <w:t>caprae</w:t>
      </w:r>
      <w:proofErr w:type="spellEnd"/>
      <w:r w:rsidRPr="00882D2B">
        <w:rPr>
          <w:i/>
          <w:iCs/>
          <w:lang w:val="en-IE"/>
        </w:rPr>
        <w:t>.</w:t>
      </w:r>
      <w:r w:rsidRPr="00882D2B">
        <w:rPr>
          <w:lang w:val="en-IE"/>
        </w:rPr>
        <w:t xml:space="preserve"> </w:t>
      </w:r>
      <w:r w:rsidRPr="00882D2B">
        <w:rPr>
          <w:i/>
          <w:iCs/>
          <w:lang w:val="en-IE"/>
        </w:rPr>
        <w:t>M. </w:t>
      </w:r>
      <w:proofErr w:type="spellStart"/>
      <w:r w:rsidRPr="00882D2B">
        <w:rPr>
          <w:i/>
          <w:iCs/>
          <w:lang w:val="en-IE"/>
        </w:rPr>
        <w:t>microti</w:t>
      </w:r>
      <w:proofErr w:type="spellEnd"/>
      <w:r w:rsidRPr="00882D2B">
        <w:rPr>
          <w:lang w:val="en-IE"/>
        </w:rPr>
        <w:t xml:space="preserve"> and </w:t>
      </w:r>
      <w:r w:rsidR="00EB77B9">
        <w:rPr>
          <w:i/>
          <w:iCs/>
          <w:lang w:val="en-IE"/>
        </w:rPr>
        <w:t>M. </w:t>
      </w:r>
      <w:proofErr w:type="spellStart"/>
      <w:r w:rsidRPr="00882D2B">
        <w:rPr>
          <w:i/>
          <w:iCs/>
          <w:lang w:val="en-IE"/>
        </w:rPr>
        <w:t>pinnipedii</w:t>
      </w:r>
      <w:proofErr w:type="spellEnd"/>
      <w:r w:rsidRPr="00882D2B">
        <w:rPr>
          <w:lang w:val="en-IE"/>
        </w:rPr>
        <w:t xml:space="preserve">. </w:t>
      </w:r>
    </w:p>
    <w:p w14:paraId="22EA4C76" w14:textId="3CCA7AA8" w:rsidR="006B263A" w:rsidRPr="00882D2B" w:rsidRDefault="00EB77B9" w:rsidP="006B263A">
      <w:pPr>
        <w:pStyle w:val="11Para"/>
        <w:rPr>
          <w:lang w:val="en-IE"/>
        </w:rPr>
      </w:pPr>
      <w:r w:rsidRPr="00882D2B">
        <w:rPr>
          <w:i/>
          <w:iCs/>
          <w:lang w:val="en-IE"/>
        </w:rPr>
        <w:t xml:space="preserve">Mycobacterium </w:t>
      </w:r>
      <w:r w:rsidR="006B263A" w:rsidRPr="00D06281">
        <w:rPr>
          <w:i/>
          <w:iCs/>
          <w:lang w:val="en-IE"/>
        </w:rPr>
        <w:t>avium</w:t>
      </w:r>
      <w:r w:rsidR="006B263A" w:rsidRPr="00105065">
        <w:rPr>
          <w:lang w:val="en-IE"/>
        </w:rPr>
        <w:t xml:space="preserve"> or other environmental mycobacteria may </w:t>
      </w:r>
      <w:r w:rsidR="006B263A" w:rsidRPr="00AF2ECC">
        <w:rPr>
          <w:lang w:val="en-IE"/>
        </w:rPr>
        <w:t xml:space="preserve">also </w:t>
      </w:r>
      <w:r w:rsidR="006B263A" w:rsidRPr="00FC2178">
        <w:rPr>
          <w:lang w:val="en-IE"/>
        </w:rPr>
        <w:t>be isolated from tuberculosis-like lesions in</w:t>
      </w:r>
      <w:r w:rsidR="006B263A" w:rsidRPr="00882D2B">
        <w:rPr>
          <w:lang w:val="en-IE"/>
        </w:rPr>
        <w:t xml:space="preserve"> cattle. In such cases, definitive identification of the causative agent may be needed, and mixed infections excluded. </w:t>
      </w:r>
    </w:p>
    <w:p w14:paraId="11840012" w14:textId="196BBD9B" w:rsidR="006B263A" w:rsidRPr="00882D2B" w:rsidRDefault="006B263A" w:rsidP="006B263A">
      <w:pPr>
        <w:pStyle w:val="11Para"/>
        <w:rPr>
          <w:lang w:val="en-IE"/>
        </w:rPr>
      </w:pPr>
      <w:r w:rsidRPr="00882D2B">
        <w:rPr>
          <w:lang w:val="en-IE"/>
        </w:rPr>
        <w:t xml:space="preserve">Isolates may be presumptively identified </w:t>
      </w:r>
      <w:r>
        <w:rPr>
          <w:lang w:val="en-IE"/>
        </w:rPr>
        <w:t>from their</w:t>
      </w:r>
      <w:r w:rsidRPr="00882D2B">
        <w:rPr>
          <w:lang w:val="en-IE"/>
        </w:rPr>
        <w:t xml:space="preserve"> cultural and biochemical properties</w:t>
      </w:r>
      <w:r>
        <w:rPr>
          <w:lang w:val="en-IE"/>
        </w:rPr>
        <w:t>,</w:t>
      </w:r>
      <w:r w:rsidRPr="008A1A8C">
        <w:rPr>
          <w:lang w:val="en-IE"/>
        </w:rPr>
        <w:t xml:space="preserve"> </w:t>
      </w:r>
      <w:r>
        <w:rPr>
          <w:lang w:val="en-IE"/>
        </w:rPr>
        <w:t>although this can be time consuming due to the slow growth of the members of the MTBC</w:t>
      </w:r>
      <w:r w:rsidRPr="00882D2B">
        <w:rPr>
          <w:lang w:val="en-IE"/>
        </w:rPr>
        <w:t xml:space="preserve">. On a suitable pyruvate-based solid medium, colonies of </w:t>
      </w:r>
      <w:r w:rsidRPr="00882D2B">
        <w:rPr>
          <w:i/>
          <w:iCs/>
          <w:lang w:val="en-IE"/>
        </w:rPr>
        <w:t>M. </w:t>
      </w:r>
      <w:proofErr w:type="spellStart"/>
      <w:r w:rsidRPr="00882D2B">
        <w:rPr>
          <w:i/>
          <w:iCs/>
          <w:lang w:val="en-IE"/>
        </w:rPr>
        <w:t>bovis</w:t>
      </w:r>
      <w:proofErr w:type="spellEnd"/>
      <w:r w:rsidRPr="00882D2B">
        <w:rPr>
          <w:lang w:val="en-IE"/>
        </w:rPr>
        <w:t xml:space="preserve"> are smooth and off-white (buff) in colour. The organism grows slowly at 37°C but does not grow at 22°C or 45°C. One approach to differentiate MTBC from non-tuberculous </w:t>
      </w:r>
      <w:r w:rsidRPr="00A12331">
        <w:rPr>
          <w:lang w:val="en-IE"/>
        </w:rPr>
        <w:t>mycobacter</w:t>
      </w:r>
      <w:r w:rsidR="003B0763" w:rsidRPr="00A12331">
        <w:rPr>
          <w:lang w:val="en-IE"/>
        </w:rPr>
        <w:t>i</w:t>
      </w:r>
      <w:r w:rsidRPr="00A12331">
        <w:rPr>
          <w:lang w:val="en-IE"/>
        </w:rPr>
        <w:t>a is</w:t>
      </w:r>
      <w:r w:rsidRPr="00882D2B">
        <w:rPr>
          <w:lang w:val="en-IE"/>
        </w:rPr>
        <w:t xml:space="preserve"> through growth in media containing 500 mg/l </w:t>
      </w:r>
      <w:bookmarkStart w:id="7" w:name="_Hlk81755805"/>
      <w:r w:rsidRPr="00882D2B">
        <w:rPr>
          <w:lang w:val="en-IE"/>
        </w:rPr>
        <w:t>p-nitrobenzoic acid</w:t>
      </w:r>
      <w:bookmarkEnd w:id="7"/>
      <w:r w:rsidRPr="00882D2B">
        <w:rPr>
          <w:lang w:val="en-IE"/>
        </w:rPr>
        <w:t xml:space="preserve">. MTBC do not grow while </w:t>
      </w:r>
      <w:r w:rsidR="005546BA">
        <w:rPr>
          <w:lang w:val="en-IE"/>
        </w:rPr>
        <w:t>most</w:t>
      </w:r>
      <w:r w:rsidRPr="00882D2B">
        <w:rPr>
          <w:lang w:val="en-IE"/>
        </w:rPr>
        <w:t xml:space="preserve"> </w:t>
      </w:r>
      <w:r w:rsidR="005546BA" w:rsidRPr="00882D2B">
        <w:rPr>
          <w:lang w:val="en-IE"/>
        </w:rPr>
        <w:t xml:space="preserve">non-tuberculous </w:t>
      </w:r>
      <w:r w:rsidRPr="00882D2B">
        <w:rPr>
          <w:lang w:val="en-IE"/>
        </w:rPr>
        <w:t>mycobacteria do</w:t>
      </w:r>
      <w:r w:rsidR="00000BE7">
        <w:rPr>
          <w:lang w:val="en-IE"/>
        </w:rPr>
        <w:t>.</w:t>
      </w:r>
    </w:p>
    <w:p w14:paraId="100364AB" w14:textId="77777777" w:rsidR="006B263A" w:rsidRDefault="006B263A" w:rsidP="006B263A">
      <w:pPr>
        <w:pStyle w:val="11Para"/>
        <w:rPr>
          <w:lang w:val="en-IE"/>
        </w:rPr>
      </w:pPr>
      <w:r w:rsidRPr="00882D2B">
        <w:rPr>
          <w:i/>
          <w:iCs/>
        </w:rPr>
        <w:t xml:space="preserve">Mycobacterium </w:t>
      </w:r>
      <w:proofErr w:type="spellStart"/>
      <w:r w:rsidRPr="00882D2B">
        <w:rPr>
          <w:i/>
          <w:iCs/>
          <w:lang w:val="en-IE"/>
        </w:rPr>
        <w:t>bovis</w:t>
      </w:r>
      <w:proofErr w:type="spellEnd"/>
      <w:r w:rsidRPr="00882D2B">
        <w:rPr>
          <w:lang w:val="en-IE"/>
        </w:rPr>
        <w:t xml:space="preserve"> is a </w:t>
      </w:r>
      <w:proofErr w:type="spellStart"/>
      <w:r w:rsidRPr="00882D2B">
        <w:rPr>
          <w:lang w:val="en-IE"/>
        </w:rPr>
        <w:t>microaerophillic</w:t>
      </w:r>
      <w:proofErr w:type="spellEnd"/>
      <w:r w:rsidRPr="00882D2B">
        <w:rPr>
          <w:lang w:val="en-IE"/>
        </w:rPr>
        <w:t xml:space="preserve"> and nonchromogenic bacterium sensitive to thiophen-2-carboxylic acid hydrazide (TCH) and to </w:t>
      </w:r>
      <w:proofErr w:type="spellStart"/>
      <w:r w:rsidRPr="00882D2B">
        <w:rPr>
          <w:lang w:val="en-IE"/>
        </w:rPr>
        <w:t>isonicotinic</w:t>
      </w:r>
      <w:proofErr w:type="spellEnd"/>
      <w:r w:rsidRPr="00882D2B">
        <w:rPr>
          <w:lang w:val="en-IE"/>
        </w:rPr>
        <w:t xml:space="preserve"> acid hydrazide (INH). </w:t>
      </w:r>
      <w:r>
        <w:rPr>
          <w:lang w:val="en-IE"/>
        </w:rPr>
        <w:t xml:space="preserve">Drug susceptibility testing can be evaluated by different protocols, including </w:t>
      </w:r>
      <w:r w:rsidRPr="00882D2B">
        <w:rPr>
          <w:lang w:val="en-IE"/>
        </w:rPr>
        <w:t xml:space="preserve">growth on </w:t>
      </w:r>
      <w:r>
        <w:rPr>
          <w:lang w:val="en-IE"/>
        </w:rPr>
        <w:t xml:space="preserve">solid </w:t>
      </w:r>
      <w:r w:rsidRPr="00882D2B">
        <w:rPr>
          <w:lang w:val="en-IE"/>
        </w:rPr>
        <w:t>7H10/7H11 Middlebrook agar medium</w:t>
      </w:r>
      <w:r>
        <w:rPr>
          <w:lang w:val="en-IE"/>
        </w:rPr>
        <w:t>,</w:t>
      </w:r>
      <w:r w:rsidRPr="00882D2B">
        <w:rPr>
          <w:lang w:val="en-IE"/>
        </w:rPr>
        <w:t xml:space="preserve"> on egg-containing media</w:t>
      </w:r>
      <w:r>
        <w:rPr>
          <w:lang w:val="en-IE"/>
        </w:rPr>
        <w:t>, or liquid systems (ECDC, 2018)</w:t>
      </w:r>
      <w:r w:rsidRPr="00882D2B">
        <w:rPr>
          <w:lang w:val="en-IE"/>
        </w:rPr>
        <w:t xml:space="preserve">. The egg medium should be prepared without pyruvate because it inhibits INH and could have a similar effect on TCH (which is an analogue of INH) and thus give false-positive (resistant) results. </w:t>
      </w:r>
      <w:r w:rsidRPr="00882D2B">
        <w:rPr>
          <w:i/>
          <w:iCs/>
        </w:rPr>
        <w:t xml:space="preserve">Mycobacterium </w:t>
      </w:r>
      <w:proofErr w:type="spellStart"/>
      <w:r w:rsidRPr="00882D2B">
        <w:rPr>
          <w:i/>
          <w:iCs/>
          <w:lang w:val="en-IE"/>
        </w:rPr>
        <w:t>bovis</w:t>
      </w:r>
      <w:proofErr w:type="spellEnd"/>
      <w:r w:rsidRPr="00882D2B">
        <w:rPr>
          <w:lang w:val="en-IE"/>
        </w:rPr>
        <w:t xml:space="preserve"> strains are also sensitive to para-amino salicylic acid and streptomycin. Effective drug concentrations are different for egg-based and agar-based media. Results for niacin production and nitrate reduction are negative in </w:t>
      </w:r>
      <w:r w:rsidRPr="00882D2B">
        <w:rPr>
          <w:i/>
          <w:iCs/>
          <w:lang w:val="en-IE"/>
        </w:rPr>
        <w:t>M. </w:t>
      </w:r>
      <w:proofErr w:type="spellStart"/>
      <w:r w:rsidRPr="00882D2B">
        <w:rPr>
          <w:i/>
          <w:iCs/>
          <w:lang w:val="en-IE"/>
        </w:rPr>
        <w:t>bovis</w:t>
      </w:r>
      <w:proofErr w:type="spellEnd"/>
      <w:r w:rsidRPr="00882D2B">
        <w:rPr>
          <w:lang w:val="en-IE"/>
        </w:rPr>
        <w:t xml:space="preserve">. In the amidase test, </w:t>
      </w:r>
      <w:r w:rsidRPr="00882D2B">
        <w:rPr>
          <w:i/>
          <w:iCs/>
          <w:lang w:val="en-IE"/>
        </w:rPr>
        <w:t>M. </w:t>
      </w:r>
      <w:proofErr w:type="spellStart"/>
      <w:r w:rsidRPr="00882D2B">
        <w:rPr>
          <w:i/>
          <w:iCs/>
          <w:lang w:val="en-IE"/>
        </w:rPr>
        <w:t>bovis</w:t>
      </w:r>
      <w:proofErr w:type="spellEnd"/>
      <w:r w:rsidRPr="00882D2B">
        <w:rPr>
          <w:lang w:val="en-IE"/>
        </w:rPr>
        <w:t xml:space="preserve"> is positive for urease and negative for </w:t>
      </w:r>
      <w:proofErr w:type="spellStart"/>
      <w:r w:rsidRPr="00882D2B">
        <w:rPr>
          <w:lang w:val="en-IE"/>
        </w:rPr>
        <w:t>nicotinamidase</w:t>
      </w:r>
      <w:proofErr w:type="spellEnd"/>
      <w:r w:rsidRPr="00882D2B">
        <w:rPr>
          <w:lang w:val="en-IE"/>
        </w:rPr>
        <w:t xml:space="preserve"> and </w:t>
      </w:r>
      <w:proofErr w:type="spellStart"/>
      <w:r w:rsidRPr="00882D2B">
        <w:rPr>
          <w:lang w:val="en-IE"/>
        </w:rPr>
        <w:t>pyrazinamidase</w:t>
      </w:r>
      <w:proofErr w:type="spellEnd"/>
      <w:r w:rsidRPr="00882D2B">
        <w:rPr>
          <w:lang w:val="en-IE"/>
        </w:rPr>
        <w:t xml:space="preserve">. </w:t>
      </w:r>
    </w:p>
    <w:p w14:paraId="1A6F9E75" w14:textId="1540489A" w:rsidR="0015316B" w:rsidRPr="006B263A" w:rsidRDefault="0015316B" w:rsidP="006B263A">
      <w:pPr>
        <w:pStyle w:val="11"/>
      </w:pPr>
      <w:r w:rsidRPr="006B263A">
        <w:t>1.3.</w:t>
      </w:r>
      <w:r w:rsidRPr="006B263A">
        <w:tab/>
        <w:t>Nucleic acid recognition methods</w:t>
      </w:r>
    </w:p>
    <w:p w14:paraId="511418E4" w14:textId="02CEF8BE" w:rsidR="00AA62A2" w:rsidRPr="00882D2B" w:rsidRDefault="007321CD" w:rsidP="00BF3D34">
      <w:pPr>
        <w:pStyle w:val="111"/>
        <w:rPr>
          <w:lang w:val="en-IE"/>
        </w:rPr>
      </w:pPr>
      <w:r w:rsidRPr="00882D2B">
        <w:rPr>
          <w:lang w:val="en-IE"/>
        </w:rPr>
        <w:t>1.3.1</w:t>
      </w:r>
      <w:r w:rsidR="00140119" w:rsidRPr="00882D2B">
        <w:rPr>
          <w:lang w:val="en-IE"/>
        </w:rPr>
        <w:t>.</w:t>
      </w:r>
      <w:r w:rsidR="00140119" w:rsidRPr="00882D2B">
        <w:rPr>
          <w:lang w:val="en-IE"/>
        </w:rPr>
        <w:tab/>
      </w:r>
      <w:r w:rsidRPr="00882D2B">
        <w:rPr>
          <w:lang w:val="en-IE"/>
        </w:rPr>
        <w:t>Polymerase chain reaction</w:t>
      </w:r>
    </w:p>
    <w:p w14:paraId="471EA9C6" w14:textId="2967985B" w:rsidR="0015316B" w:rsidRPr="00882D2B" w:rsidRDefault="0015316B" w:rsidP="00190093">
      <w:pPr>
        <w:pStyle w:val="111Para"/>
        <w:rPr>
          <w:lang w:val="en-IE"/>
        </w:rPr>
      </w:pPr>
      <w:r w:rsidRPr="00882D2B">
        <w:rPr>
          <w:lang w:val="en-IE"/>
        </w:rPr>
        <w:t xml:space="preserve">Rapid identification of isolates to the level of </w:t>
      </w:r>
      <w:r w:rsidR="00730C6A">
        <w:rPr>
          <w:iCs/>
          <w:lang w:val="en-IE"/>
        </w:rPr>
        <w:t xml:space="preserve">MTBC </w:t>
      </w:r>
      <w:r w:rsidRPr="00882D2B">
        <w:rPr>
          <w:lang w:val="en-IE"/>
        </w:rPr>
        <w:t xml:space="preserve">can be </w:t>
      </w:r>
      <w:r w:rsidR="00E8104F" w:rsidRPr="00882D2B">
        <w:rPr>
          <w:lang w:val="en-IE"/>
        </w:rPr>
        <w:t>performed</w:t>
      </w:r>
      <w:r w:rsidRPr="00882D2B">
        <w:rPr>
          <w:lang w:val="en-IE"/>
        </w:rPr>
        <w:t xml:space="preserve"> by </w:t>
      </w:r>
      <w:r w:rsidR="00E8104F" w:rsidRPr="00882D2B">
        <w:rPr>
          <w:lang w:val="en-IE"/>
        </w:rPr>
        <w:t xml:space="preserve">use of </w:t>
      </w:r>
      <w:r w:rsidRPr="00882D2B">
        <w:rPr>
          <w:lang w:val="en-IE"/>
        </w:rPr>
        <w:t>polymerase chain reaction (PCR) targeting 16S–23S rRNA, insertion sequences</w:t>
      </w:r>
      <w:r w:rsidR="00E8104F" w:rsidRPr="00882D2B">
        <w:rPr>
          <w:lang w:val="en-IE"/>
        </w:rPr>
        <w:t xml:space="preserve"> such as</w:t>
      </w:r>
      <w:r w:rsidRPr="00882D2B">
        <w:rPr>
          <w:lang w:val="en-IE"/>
        </w:rPr>
        <w:t xml:space="preserve"> IS</w:t>
      </w:r>
      <w:r w:rsidRPr="00882D2B">
        <w:rPr>
          <w:i/>
          <w:iCs/>
          <w:lang w:val="en-IE"/>
        </w:rPr>
        <w:t>6110</w:t>
      </w:r>
      <w:r w:rsidRPr="00882D2B">
        <w:rPr>
          <w:lang w:val="en-IE"/>
        </w:rPr>
        <w:t xml:space="preserve"> </w:t>
      </w:r>
      <w:r w:rsidR="00E8104F" w:rsidRPr="00882D2B">
        <w:rPr>
          <w:lang w:val="en-IE"/>
        </w:rPr>
        <w:t>or</w:t>
      </w:r>
      <w:r w:rsidRPr="00882D2B">
        <w:rPr>
          <w:lang w:val="en-IE"/>
        </w:rPr>
        <w:t xml:space="preserve"> IS</w:t>
      </w:r>
      <w:r w:rsidRPr="00882D2B">
        <w:rPr>
          <w:i/>
          <w:iCs/>
          <w:lang w:val="en-IE"/>
        </w:rPr>
        <w:t>1081</w:t>
      </w:r>
      <w:r w:rsidRPr="00882D2B">
        <w:rPr>
          <w:lang w:val="en-IE"/>
        </w:rPr>
        <w:t xml:space="preserve">, </w:t>
      </w:r>
      <w:r w:rsidR="0042340C" w:rsidRPr="00882D2B">
        <w:rPr>
          <w:lang w:val="en-IE"/>
        </w:rPr>
        <w:t>or</w:t>
      </w:r>
      <w:r w:rsidRPr="00882D2B">
        <w:rPr>
          <w:lang w:val="en-IE"/>
        </w:rPr>
        <w:t xml:space="preserve"> </w:t>
      </w:r>
      <w:r w:rsidR="00E8104F" w:rsidRPr="00882D2B">
        <w:rPr>
          <w:lang w:val="en-IE"/>
        </w:rPr>
        <w:t xml:space="preserve">similar </w:t>
      </w:r>
      <w:r w:rsidR="0042340C" w:rsidRPr="00882D2B">
        <w:rPr>
          <w:lang w:val="en-IE"/>
        </w:rPr>
        <w:t>sequences</w:t>
      </w:r>
      <w:r w:rsidRPr="00882D2B">
        <w:rPr>
          <w:lang w:val="en-IE"/>
        </w:rPr>
        <w:t xml:space="preserve"> </w:t>
      </w:r>
      <w:r w:rsidR="009D51FE" w:rsidRPr="00882D2B">
        <w:rPr>
          <w:lang w:val="en-IE"/>
        </w:rPr>
        <w:t>representing</w:t>
      </w:r>
      <w:r w:rsidR="00E8104F" w:rsidRPr="00882D2B">
        <w:rPr>
          <w:i/>
          <w:iCs/>
          <w:lang w:val="en-IE"/>
        </w:rPr>
        <w:t xml:space="preserve"> </w:t>
      </w:r>
      <w:r w:rsidR="00E8104F" w:rsidRPr="00882D2B">
        <w:rPr>
          <w:lang w:val="en-IE"/>
        </w:rPr>
        <w:t>MTBC</w:t>
      </w:r>
      <w:r w:rsidRPr="00882D2B">
        <w:rPr>
          <w:lang w:val="en-IE"/>
        </w:rPr>
        <w:t xml:space="preserve">-specific </w:t>
      </w:r>
      <w:r w:rsidR="0042340C" w:rsidRPr="00882D2B">
        <w:rPr>
          <w:lang w:val="en-IE"/>
        </w:rPr>
        <w:t>targets</w:t>
      </w:r>
      <w:r w:rsidRPr="00882D2B">
        <w:rPr>
          <w:lang w:val="en-IE"/>
        </w:rPr>
        <w:t xml:space="preserve">. </w:t>
      </w:r>
      <w:r w:rsidR="00E8104F" w:rsidRPr="00882D2B">
        <w:rPr>
          <w:lang w:val="en-IE"/>
        </w:rPr>
        <w:t>S</w:t>
      </w:r>
      <w:r w:rsidR="0042340C" w:rsidRPr="00882D2B">
        <w:rPr>
          <w:lang w:val="en-IE"/>
        </w:rPr>
        <w:t>pecies</w:t>
      </w:r>
      <w:r w:rsidR="00E8104F" w:rsidRPr="00882D2B">
        <w:rPr>
          <w:lang w:val="en-IE"/>
        </w:rPr>
        <w:t>-</w:t>
      </w:r>
      <w:r w:rsidR="0042340C" w:rsidRPr="00882D2B">
        <w:rPr>
          <w:lang w:val="en-IE"/>
        </w:rPr>
        <w:t xml:space="preserve">level identification of members of the MTBC </w:t>
      </w:r>
      <w:r w:rsidR="00962195" w:rsidRPr="00882D2B">
        <w:rPr>
          <w:lang w:val="en-IE"/>
        </w:rPr>
        <w:t xml:space="preserve">may be achieved with </w:t>
      </w:r>
      <w:r w:rsidR="00E8104F" w:rsidRPr="00882D2B">
        <w:rPr>
          <w:lang w:val="en-IE"/>
        </w:rPr>
        <w:t xml:space="preserve">molecular genetic approaches </w:t>
      </w:r>
      <w:r w:rsidR="00962195" w:rsidRPr="00882D2B">
        <w:rPr>
          <w:lang w:val="en-IE"/>
        </w:rPr>
        <w:t>for</w:t>
      </w:r>
      <w:r w:rsidR="0042340C" w:rsidRPr="00882D2B">
        <w:rPr>
          <w:lang w:val="en-IE"/>
        </w:rPr>
        <w:t xml:space="preserve"> </w:t>
      </w:r>
      <w:r w:rsidR="00812329" w:rsidRPr="00882D2B">
        <w:rPr>
          <w:lang w:val="en-IE"/>
        </w:rPr>
        <w:t>detecting the presence or absence of</w:t>
      </w:r>
      <w:r w:rsidR="0042340C" w:rsidRPr="00882D2B">
        <w:rPr>
          <w:lang w:val="en-IE"/>
        </w:rPr>
        <w:t xml:space="preserve"> </w:t>
      </w:r>
      <w:r w:rsidR="00812329" w:rsidRPr="00882D2B">
        <w:rPr>
          <w:lang w:val="en-IE"/>
        </w:rPr>
        <w:t>genomic “</w:t>
      </w:r>
      <w:r w:rsidR="00A12AD8" w:rsidRPr="00882D2B">
        <w:rPr>
          <w:lang w:val="en-IE"/>
        </w:rPr>
        <w:t>r</w:t>
      </w:r>
      <w:r w:rsidRPr="00882D2B">
        <w:rPr>
          <w:lang w:val="en-IE"/>
        </w:rPr>
        <w:t xml:space="preserve">egions of </w:t>
      </w:r>
      <w:r w:rsidR="00A12AD8" w:rsidRPr="00882D2B">
        <w:rPr>
          <w:lang w:val="en-IE"/>
        </w:rPr>
        <w:t>d</w:t>
      </w:r>
      <w:r w:rsidRPr="00882D2B">
        <w:rPr>
          <w:lang w:val="en-IE"/>
        </w:rPr>
        <w:t>ifference</w:t>
      </w:r>
      <w:r w:rsidR="0042340C" w:rsidRPr="00882D2B">
        <w:rPr>
          <w:lang w:val="en-IE"/>
        </w:rPr>
        <w:t>s</w:t>
      </w:r>
      <w:r w:rsidR="00812329" w:rsidRPr="00882D2B">
        <w:rPr>
          <w:lang w:val="en-IE"/>
        </w:rPr>
        <w:t xml:space="preserve">” </w:t>
      </w:r>
      <w:r w:rsidR="00E8104F" w:rsidRPr="00882D2B">
        <w:rPr>
          <w:lang w:val="en-IE"/>
        </w:rPr>
        <w:t xml:space="preserve">or </w:t>
      </w:r>
      <w:r w:rsidR="00812329" w:rsidRPr="00882D2B">
        <w:rPr>
          <w:lang w:val="en-IE"/>
        </w:rPr>
        <w:t xml:space="preserve">species-defining </w:t>
      </w:r>
      <w:r w:rsidR="00E8104F" w:rsidRPr="00882D2B">
        <w:rPr>
          <w:lang w:val="en-IE"/>
        </w:rPr>
        <w:t>(</w:t>
      </w:r>
      <w:r w:rsidR="00812329" w:rsidRPr="00882D2B">
        <w:rPr>
          <w:lang w:val="en-IE"/>
        </w:rPr>
        <w:t>single</w:t>
      </w:r>
      <w:r w:rsidR="00E8104F" w:rsidRPr="00882D2B">
        <w:rPr>
          <w:lang w:val="en-IE"/>
        </w:rPr>
        <w:t>-</w:t>
      </w:r>
      <w:r w:rsidR="00812329" w:rsidRPr="00882D2B">
        <w:rPr>
          <w:lang w:val="en-IE"/>
        </w:rPr>
        <w:t>nucleotide</w:t>
      </w:r>
      <w:r w:rsidR="00E8104F" w:rsidRPr="00882D2B">
        <w:rPr>
          <w:lang w:val="en-IE"/>
        </w:rPr>
        <w:t>)</w:t>
      </w:r>
      <w:r w:rsidR="00812329" w:rsidRPr="00882D2B">
        <w:rPr>
          <w:lang w:val="en-IE"/>
        </w:rPr>
        <w:t xml:space="preserve"> polymorphisms. Sub</w:t>
      </w:r>
      <w:r w:rsidR="00E8104F" w:rsidRPr="00882D2B">
        <w:rPr>
          <w:lang w:val="en-IE"/>
        </w:rPr>
        <w:t>-</w:t>
      </w:r>
      <w:r w:rsidR="00812329" w:rsidRPr="00882D2B">
        <w:rPr>
          <w:lang w:val="en-IE"/>
        </w:rPr>
        <w:t>speci</w:t>
      </w:r>
      <w:r w:rsidR="00E8104F" w:rsidRPr="00882D2B">
        <w:rPr>
          <w:lang w:val="en-IE"/>
        </w:rPr>
        <w:t>es</w:t>
      </w:r>
      <w:r w:rsidR="00812329" w:rsidRPr="00882D2B">
        <w:rPr>
          <w:lang w:val="en-IE"/>
        </w:rPr>
        <w:t xml:space="preserve"> identification </w:t>
      </w:r>
      <w:r w:rsidR="00E8104F" w:rsidRPr="00882D2B">
        <w:rPr>
          <w:lang w:val="en-IE"/>
        </w:rPr>
        <w:t>may be</w:t>
      </w:r>
      <w:r w:rsidR="00812329" w:rsidRPr="00882D2B">
        <w:rPr>
          <w:lang w:val="en-IE"/>
        </w:rPr>
        <w:t xml:space="preserve"> </w:t>
      </w:r>
      <w:r w:rsidR="00E8104F" w:rsidRPr="00882D2B">
        <w:rPr>
          <w:lang w:val="en-IE"/>
        </w:rPr>
        <w:t>achieved with molecular typing approaches such as</w:t>
      </w:r>
      <w:r w:rsidR="00466BCB" w:rsidRPr="00882D2B">
        <w:rPr>
          <w:lang w:val="en-IE"/>
        </w:rPr>
        <w:t xml:space="preserve"> </w:t>
      </w:r>
      <w:proofErr w:type="spellStart"/>
      <w:r w:rsidRPr="00882D2B">
        <w:rPr>
          <w:lang w:val="en-IE"/>
        </w:rPr>
        <w:t>spoligotyping</w:t>
      </w:r>
      <w:proofErr w:type="spellEnd"/>
      <w:r w:rsidR="00466BCB" w:rsidRPr="00882D2B">
        <w:rPr>
          <w:lang w:val="en-IE"/>
        </w:rPr>
        <w:t xml:space="preserve"> </w:t>
      </w:r>
      <w:r w:rsidR="00E8104F" w:rsidRPr="00882D2B">
        <w:rPr>
          <w:lang w:val="en-IE"/>
        </w:rPr>
        <w:t>or</w:t>
      </w:r>
      <w:r w:rsidR="00983C43">
        <w:rPr>
          <w:lang w:val="en-IE"/>
        </w:rPr>
        <w:t>,</w:t>
      </w:r>
      <w:r w:rsidR="009D51FE" w:rsidRPr="00882D2B">
        <w:rPr>
          <w:lang w:val="en-IE"/>
        </w:rPr>
        <w:t xml:space="preserve"> </w:t>
      </w:r>
      <w:r w:rsidR="00466BCB" w:rsidRPr="00882D2B">
        <w:rPr>
          <w:lang w:val="en-IE"/>
        </w:rPr>
        <w:t>increasingly,</w:t>
      </w:r>
      <w:r w:rsidR="009D51FE" w:rsidRPr="00882D2B">
        <w:rPr>
          <w:lang w:val="en-IE"/>
        </w:rPr>
        <w:t xml:space="preserve"> </w:t>
      </w:r>
      <w:r w:rsidR="00466BCB" w:rsidRPr="00882D2B">
        <w:rPr>
          <w:lang w:val="en-IE"/>
        </w:rPr>
        <w:t>whole genome sequence analyses</w:t>
      </w:r>
      <w:r w:rsidR="00962195" w:rsidRPr="00882D2B">
        <w:rPr>
          <w:lang w:val="en-IE"/>
        </w:rPr>
        <w:t xml:space="preserve"> to aid in strain differentiation as well as in molecular epidemiologic analyses</w:t>
      </w:r>
      <w:r w:rsidRPr="00882D2B">
        <w:rPr>
          <w:lang w:val="en-IE"/>
        </w:rPr>
        <w:t>.</w:t>
      </w:r>
      <w:r w:rsidR="00140119" w:rsidRPr="00882D2B">
        <w:rPr>
          <w:lang w:val="en-IE"/>
        </w:rPr>
        <w:t xml:space="preserve"> </w:t>
      </w:r>
    </w:p>
    <w:p w14:paraId="3B34DAEE" w14:textId="7C516D2A" w:rsidR="00003DF3" w:rsidRDefault="006A389B" w:rsidP="006A389B">
      <w:pPr>
        <w:pStyle w:val="111Para"/>
        <w:rPr>
          <w:lang w:val="en-IE"/>
        </w:rPr>
      </w:pPr>
      <w:r w:rsidRPr="00882D2B">
        <w:rPr>
          <w:lang w:val="en-IE"/>
        </w:rPr>
        <w:t xml:space="preserve">PCR is routinely used for the detection of members of the MTBC in clinical </w:t>
      </w:r>
      <w:r w:rsidR="002D50E6" w:rsidRPr="00882D2B">
        <w:rPr>
          <w:lang w:val="en-IE"/>
        </w:rPr>
        <w:t>specimens</w:t>
      </w:r>
      <w:r w:rsidRPr="00882D2B">
        <w:rPr>
          <w:lang w:val="en-IE"/>
        </w:rPr>
        <w:t xml:space="preserve"> (mainly sputum) in humans, and is increasingly applied for the diagnosis of tuberculosis in animals. A number of commercially available assays and various ‘in-house’ methods have been evaluated for the detection of members of the MTBC in fresh samples or fixed tissues. </w:t>
      </w:r>
      <w:r w:rsidR="00412211">
        <w:rPr>
          <w:lang w:val="en-IE"/>
        </w:rPr>
        <w:t xml:space="preserve">Of key importance is that the DNA extraction method to be employed includes a </w:t>
      </w:r>
      <w:r w:rsidR="00412211" w:rsidRPr="00091316">
        <w:rPr>
          <w:lang w:val="en-IE"/>
        </w:rPr>
        <w:t>mechanical</w:t>
      </w:r>
      <w:r w:rsidR="00412211">
        <w:rPr>
          <w:lang w:val="en-IE"/>
        </w:rPr>
        <w:t xml:space="preserve"> lysis step </w:t>
      </w:r>
      <w:r w:rsidR="00A12331">
        <w:rPr>
          <w:lang w:val="en-IE"/>
        </w:rPr>
        <w:t>as well as</w:t>
      </w:r>
      <w:r w:rsidR="00412211" w:rsidRPr="00091316">
        <w:rPr>
          <w:lang w:val="en-IE"/>
        </w:rPr>
        <w:t xml:space="preserve"> </w:t>
      </w:r>
      <w:r w:rsidR="00412211">
        <w:rPr>
          <w:lang w:val="en-IE"/>
        </w:rPr>
        <w:t xml:space="preserve">the chemical lysis (Lorente-Leal </w:t>
      </w:r>
      <w:r w:rsidR="00412211" w:rsidRPr="00D1186F">
        <w:rPr>
          <w:i/>
          <w:lang w:val="en-IE"/>
        </w:rPr>
        <w:t>et al</w:t>
      </w:r>
      <w:r w:rsidR="00997060">
        <w:rPr>
          <w:lang w:val="en-IE"/>
        </w:rPr>
        <w:t>.,</w:t>
      </w:r>
      <w:r w:rsidR="00412211">
        <w:rPr>
          <w:lang w:val="en-IE"/>
        </w:rPr>
        <w:t xml:space="preserve"> 20</w:t>
      </w:r>
      <w:r w:rsidR="00C77D96">
        <w:rPr>
          <w:lang w:val="en-IE"/>
        </w:rPr>
        <w:t>19</w:t>
      </w:r>
      <w:r w:rsidR="00412211">
        <w:rPr>
          <w:lang w:val="en-IE"/>
        </w:rPr>
        <w:t xml:space="preserve">). </w:t>
      </w:r>
      <w:r w:rsidRPr="00882D2B">
        <w:rPr>
          <w:lang w:val="en-IE"/>
        </w:rPr>
        <w:t>Various MTBC- or species-specific targets for amplification have been identified as noted above. The most common targets for PCR identification of members of the MTBC are the multicopy insertion elements IS</w:t>
      </w:r>
      <w:r w:rsidRPr="00882D2B">
        <w:rPr>
          <w:i/>
          <w:iCs/>
          <w:lang w:val="en-IE"/>
        </w:rPr>
        <w:t>6110</w:t>
      </w:r>
      <w:r w:rsidRPr="00882D2B">
        <w:rPr>
          <w:lang w:val="en-IE"/>
        </w:rPr>
        <w:t xml:space="preserve"> or IS</w:t>
      </w:r>
      <w:r w:rsidRPr="00882D2B">
        <w:rPr>
          <w:i/>
          <w:iCs/>
          <w:lang w:val="en-IE"/>
        </w:rPr>
        <w:t>1081</w:t>
      </w:r>
      <w:r w:rsidRPr="00882D2B">
        <w:rPr>
          <w:lang w:val="en-IE"/>
        </w:rPr>
        <w:t xml:space="preserve"> (or both).</w:t>
      </w:r>
      <w:r w:rsidR="00140119" w:rsidRPr="00882D2B">
        <w:rPr>
          <w:lang w:val="en-IE"/>
        </w:rPr>
        <w:t xml:space="preserve"> </w:t>
      </w:r>
      <w:r w:rsidRPr="00882D2B">
        <w:rPr>
          <w:lang w:val="en-IE"/>
        </w:rPr>
        <w:t>Several assays for real-time PCR-based detection of these two targets have been reported, with good to excellent performance characteristics as compared with either culture or histopathology (</w:t>
      </w:r>
      <w:r w:rsidR="00730C6A" w:rsidRPr="0014785C">
        <w:rPr>
          <w:lang w:val="en-IE"/>
        </w:rPr>
        <w:t>e.g</w:t>
      </w:r>
      <w:r w:rsidR="00F668BA">
        <w:rPr>
          <w:lang w:val="en-IE"/>
        </w:rPr>
        <w:t>.</w:t>
      </w:r>
      <w:r w:rsidR="00597EED">
        <w:rPr>
          <w:lang w:val="en-IE"/>
        </w:rPr>
        <w:t xml:space="preserve"> </w:t>
      </w:r>
      <w:proofErr w:type="spellStart"/>
      <w:r w:rsidR="00597EED">
        <w:rPr>
          <w:lang w:val="en-IE"/>
        </w:rPr>
        <w:t>Cou</w:t>
      </w:r>
      <w:r w:rsidR="00F668BA">
        <w:rPr>
          <w:lang w:val="en-IE"/>
        </w:rPr>
        <w:t>r</w:t>
      </w:r>
      <w:r w:rsidR="00597EED">
        <w:rPr>
          <w:lang w:val="en-IE"/>
        </w:rPr>
        <w:t>coul</w:t>
      </w:r>
      <w:proofErr w:type="spellEnd"/>
      <w:r w:rsidR="004F44A8">
        <w:rPr>
          <w:lang w:val="en-IE"/>
        </w:rPr>
        <w:t xml:space="preserve"> </w:t>
      </w:r>
      <w:r w:rsidR="004F44A8" w:rsidRPr="00410052">
        <w:rPr>
          <w:i/>
          <w:iCs/>
          <w:lang w:val="en-IE"/>
        </w:rPr>
        <w:t>et al.,</w:t>
      </w:r>
      <w:r w:rsidR="004F44A8">
        <w:rPr>
          <w:lang w:val="en-IE"/>
        </w:rPr>
        <w:t xml:space="preserve"> 2014; </w:t>
      </w:r>
      <w:r w:rsidR="00730C6A" w:rsidRPr="0014785C">
        <w:rPr>
          <w:lang w:val="en-IE"/>
        </w:rPr>
        <w:t xml:space="preserve">Sanchez-Carvajal </w:t>
      </w:r>
      <w:r w:rsidR="00730C6A" w:rsidRPr="0014785C">
        <w:rPr>
          <w:i/>
          <w:iCs/>
          <w:lang w:val="en-IE"/>
        </w:rPr>
        <w:t>et al.,</w:t>
      </w:r>
      <w:r w:rsidR="00730C6A" w:rsidRPr="0014785C">
        <w:rPr>
          <w:lang w:val="en-IE"/>
        </w:rPr>
        <w:t xml:space="preserve"> 2021</w:t>
      </w:r>
      <w:r w:rsidRPr="00882D2B">
        <w:rPr>
          <w:lang w:val="en-IE"/>
        </w:rPr>
        <w:t>).</w:t>
      </w:r>
      <w:r w:rsidR="00140119" w:rsidRPr="00882D2B">
        <w:rPr>
          <w:lang w:val="en-IE"/>
        </w:rPr>
        <w:t xml:space="preserve"> </w:t>
      </w:r>
      <w:r w:rsidRPr="00543937">
        <w:rPr>
          <w:lang w:val="en-IE"/>
        </w:rPr>
        <w:t>Examples of well validated primer and probe sequences include those in use for the USDA national animal tuberculosis surveillance program that target IS</w:t>
      </w:r>
      <w:r w:rsidRPr="00543937">
        <w:rPr>
          <w:i/>
          <w:iCs/>
          <w:lang w:val="en-IE"/>
        </w:rPr>
        <w:t>1081</w:t>
      </w:r>
      <w:r w:rsidRPr="00543937">
        <w:rPr>
          <w:lang w:val="en-IE"/>
        </w:rPr>
        <w:t xml:space="preserve">: </w:t>
      </w:r>
    </w:p>
    <w:p w14:paraId="76AE7F85" w14:textId="40A54F21" w:rsidR="008C40AC" w:rsidRPr="00FD6B8A" w:rsidRDefault="006A389B" w:rsidP="003354C8">
      <w:pPr>
        <w:pStyle w:val="111Para"/>
        <w:ind w:left="2268"/>
        <w:jc w:val="left"/>
        <w:rPr>
          <w:lang w:val="en-IE"/>
        </w:rPr>
      </w:pPr>
      <w:r w:rsidRPr="00FD6B8A">
        <w:rPr>
          <w:lang w:val="en-IE"/>
        </w:rPr>
        <w:t>IS</w:t>
      </w:r>
      <w:r w:rsidR="001D733C" w:rsidRPr="00FD6B8A">
        <w:rPr>
          <w:lang w:val="en-IE"/>
        </w:rPr>
        <w:t>1</w:t>
      </w:r>
      <w:r w:rsidRPr="00FD6B8A">
        <w:rPr>
          <w:lang w:val="en-IE"/>
        </w:rPr>
        <w:t>081</w:t>
      </w:r>
      <w:r w:rsidRPr="00FD6B8A">
        <w:rPr>
          <w:i/>
          <w:iCs/>
          <w:lang w:val="en-IE"/>
        </w:rPr>
        <w:t>_</w:t>
      </w:r>
      <w:r w:rsidRPr="00FD6B8A">
        <w:rPr>
          <w:lang w:val="en-IE"/>
        </w:rPr>
        <w:t>F1 5’-GGC</w:t>
      </w:r>
      <w:r w:rsidR="00B91D2C" w:rsidRPr="00FD6B8A">
        <w:rPr>
          <w:lang w:val="en-IE"/>
        </w:rPr>
        <w:t>-</w:t>
      </w:r>
      <w:r w:rsidRPr="00FD6B8A">
        <w:rPr>
          <w:lang w:val="en-IE"/>
        </w:rPr>
        <w:t>TGC</w:t>
      </w:r>
      <w:r w:rsidR="004C3ABE" w:rsidRPr="00FD6B8A">
        <w:rPr>
          <w:lang w:val="en-IE"/>
        </w:rPr>
        <w:t>-</w:t>
      </w:r>
      <w:r w:rsidRPr="00FD6B8A">
        <w:rPr>
          <w:lang w:val="en-IE"/>
        </w:rPr>
        <w:t>TCT</w:t>
      </w:r>
      <w:r w:rsidR="004C3ABE" w:rsidRPr="00FD6B8A">
        <w:rPr>
          <w:lang w:val="en-IE"/>
        </w:rPr>
        <w:t>-</w:t>
      </w:r>
      <w:r w:rsidRPr="00FD6B8A">
        <w:rPr>
          <w:lang w:val="en-IE"/>
        </w:rPr>
        <w:t>CGA</w:t>
      </w:r>
      <w:r w:rsidR="004C3ABE" w:rsidRPr="00FD6B8A">
        <w:rPr>
          <w:lang w:val="en-IE"/>
        </w:rPr>
        <w:t>-</w:t>
      </w:r>
      <w:r w:rsidRPr="00FD6B8A">
        <w:rPr>
          <w:lang w:val="en-IE"/>
        </w:rPr>
        <w:t>CGT</w:t>
      </w:r>
      <w:r w:rsidR="004C3ABE" w:rsidRPr="00FD6B8A">
        <w:rPr>
          <w:lang w:val="en-IE"/>
        </w:rPr>
        <w:t>-</w:t>
      </w:r>
      <w:r w:rsidRPr="00FD6B8A">
        <w:rPr>
          <w:lang w:val="en-IE"/>
        </w:rPr>
        <w:t>TCA</w:t>
      </w:r>
      <w:r w:rsidR="004C3ABE" w:rsidRPr="00FD6B8A">
        <w:rPr>
          <w:lang w:val="en-IE"/>
        </w:rPr>
        <w:t>-</w:t>
      </w:r>
      <w:r w:rsidRPr="00FD6B8A">
        <w:rPr>
          <w:lang w:val="en-IE"/>
        </w:rPr>
        <w:t xml:space="preserve">TC; </w:t>
      </w:r>
      <w:r w:rsidR="003354C8" w:rsidRPr="00FD6B8A">
        <w:rPr>
          <w:lang w:val="en-IE"/>
        </w:rPr>
        <w:br/>
      </w:r>
      <w:r w:rsidRPr="00FD6B8A">
        <w:rPr>
          <w:lang w:val="en-IE"/>
        </w:rPr>
        <w:t>IS1081_RI 5’-CGC</w:t>
      </w:r>
      <w:r w:rsidR="004C3ABE" w:rsidRPr="00FD6B8A">
        <w:rPr>
          <w:lang w:val="en-IE"/>
        </w:rPr>
        <w:t>-</w:t>
      </w:r>
      <w:r w:rsidRPr="00FD6B8A">
        <w:rPr>
          <w:lang w:val="en-IE"/>
        </w:rPr>
        <w:t>TGA</w:t>
      </w:r>
      <w:r w:rsidR="004C3ABE" w:rsidRPr="00FD6B8A">
        <w:rPr>
          <w:lang w:val="en-IE"/>
        </w:rPr>
        <w:t>-</w:t>
      </w:r>
      <w:r w:rsidRPr="00FD6B8A">
        <w:rPr>
          <w:lang w:val="en-IE"/>
        </w:rPr>
        <w:t>TTG</w:t>
      </w:r>
      <w:r w:rsidR="004C3ABE" w:rsidRPr="00FD6B8A">
        <w:rPr>
          <w:lang w:val="en-IE"/>
        </w:rPr>
        <w:t>-</w:t>
      </w:r>
      <w:r w:rsidRPr="00FD6B8A">
        <w:rPr>
          <w:lang w:val="en-IE"/>
        </w:rPr>
        <w:t>GAC</w:t>
      </w:r>
      <w:r w:rsidR="004C3ABE" w:rsidRPr="00FD6B8A">
        <w:rPr>
          <w:lang w:val="en-IE"/>
        </w:rPr>
        <w:t>-</w:t>
      </w:r>
      <w:r w:rsidRPr="00FD6B8A">
        <w:rPr>
          <w:lang w:val="en-IE"/>
        </w:rPr>
        <w:t>CGC</w:t>
      </w:r>
      <w:r w:rsidR="004C3ABE" w:rsidRPr="00FD6B8A">
        <w:rPr>
          <w:lang w:val="en-IE"/>
        </w:rPr>
        <w:t>-</w:t>
      </w:r>
      <w:r w:rsidRPr="00FD6B8A">
        <w:rPr>
          <w:lang w:val="en-IE"/>
        </w:rPr>
        <w:t>TCA</w:t>
      </w:r>
      <w:r w:rsidR="004C3ABE" w:rsidRPr="00FD6B8A">
        <w:rPr>
          <w:lang w:val="en-IE"/>
        </w:rPr>
        <w:t>-</w:t>
      </w:r>
      <w:r w:rsidRPr="00FD6B8A">
        <w:rPr>
          <w:lang w:val="en-IE"/>
        </w:rPr>
        <w:t xml:space="preserve">T; </w:t>
      </w:r>
      <w:r w:rsidR="003354C8" w:rsidRPr="00FD6B8A">
        <w:rPr>
          <w:lang w:val="en-IE"/>
        </w:rPr>
        <w:br/>
      </w:r>
      <w:r w:rsidRPr="00FD6B8A">
        <w:rPr>
          <w:lang w:val="en-IE"/>
        </w:rPr>
        <w:t>IS1081_Pl</w:t>
      </w:r>
      <w:r w:rsidR="00C4044C" w:rsidRPr="00FD6B8A">
        <w:rPr>
          <w:lang w:val="en-IE"/>
        </w:rPr>
        <w:t xml:space="preserve"> </w:t>
      </w:r>
      <w:r w:rsidRPr="00FD6B8A">
        <w:rPr>
          <w:lang w:val="en-IE"/>
        </w:rPr>
        <w:t>5’-CTG</w:t>
      </w:r>
      <w:r w:rsidR="004C3ABE" w:rsidRPr="00FD6B8A">
        <w:rPr>
          <w:lang w:val="en-IE"/>
        </w:rPr>
        <w:t>-</w:t>
      </w:r>
      <w:r w:rsidRPr="00FD6B8A">
        <w:rPr>
          <w:lang w:val="en-IE"/>
        </w:rPr>
        <w:t>AAG</w:t>
      </w:r>
      <w:r w:rsidR="004C3ABE" w:rsidRPr="00FD6B8A">
        <w:rPr>
          <w:lang w:val="en-IE"/>
        </w:rPr>
        <w:t>-</w:t>
      </w:r>
      <w:r w:rsidRPr="00FD6B8A">
        <w:rPr>
          <w:lang w:val="en-IE"/>
        </w:rPr>
        <w:t>CCG</w:t>
      </w:r>
      <w:r w:rsidR="004C3ABE" w:rsidRPr="00FD6B8A">
        <w:rPr>
          <w:lang w:val="en-IE"/>
        </w:rPr>
        <w:t>-</w:t>
      </w:r>
      <w:r w:rsidRPr="00FD6B8A">
        <w:rPr>
          <w:lang w:val="en-IE"/>
        </w:rPr>
        <w:t>ACG</w:t>
      </w:r>
      <w:r w:rsidR="004C3ABE" w:rsidRPr="00FD6B8A">
        <w:rPr>
          <w:lang w:val="en-IE"/>
        </w:rPr>
        <w:t>-</w:t>
      </w:r>
      <w:r w:rsidRPr="00FD6B8A">
        <w:rPr>
          <w:lang w:val="en-IE"/>
        </w:rPr>
        <w:t>CCC</w:t>
      </w:r>
      <w:r w:rsidR="004C3ABE" w:rsidRPr="00FD6B8A">
        <w:rPr>
          <w:lang w:val="en-IE"/>
        </w:rPr>
        <w:t>-</w:t>
      </w:r>
      <w:r w:rsidRPr="00FD6B8A">
        <w:rPr>
          <w:lang w:val="en-IE"/>
        </w:rPr>
        <w:t>TGT</w:t>
      </w:r>
      <w:r w:rsidR="004C3ABE" w:rsidRPr="00FD6B8A">
        <w:rPr>
          <w:lang w:val="en-IE"/>
        </w:rPr>
        <w:t>-</w:t>
      </w:r>
      <w:r w:rsidRPr="00FD6B8A">
        <w:rPr>
          <w:lang w:val="en-IE"/>
        </w:rPr>
        <w:t xml:space="preserve">GC; </w:t>
      </w:r>
    </w:p>
    <w:p w14:paraId="27801171" w14:textId="77777777" w:rsidR="003354C8" w:rsidRPr="00543937" w:rsidRDefault="006A389B" w:rsidP="009876DA">
      <w:pPr>
        <w:pStyle w:val="111Para"/>
        <w:jc w:val="left"/>
        <w:rPr>
          <w:lang w:val="en-IE"/>
        </w:rPr>
      </w:pPr>
      <w:r w:rsidRPr="00543937">
        <w:rPr>
          <w:lang w:val="en-IE"/>
        </w:rPr>
        <w:t>and for IS</w:t>
      </w:r>
      <w:r w:rsidRPr="00543937">
        <w:rPr>
          <w:i/>
          <w:iCs/>
          <w:lang w:val="en-IE"/>
        </w:rPr>
        <w:t>6110</w:t>
      </w:r>
      <w:r w:rsidRPr="00543937">
        <w:rPr>
          <w:lang w:val="en-IE"/>
        </w:rPr>
        <w:t xml:space="preserve">: </w:t>
      </w:r>
    </w:p>
    <w:p w14:paraId="3E7E8627" w14:textId="72E92AD1" w:rsidR="00430FBD" w:rsidRPr="00412211" w:rsidRDefault="006A389B" w:rsidP="000D6118">
      <w:pPr>
        <w:pStyle w:val="111Para"/>
        <w:ind w:left="2268"/>
        <w:jc w:val="left"/>
        <w:rPr>
          <w:strike/>
          <w:lang w:val="en-IE"/>
        </w:rPr>
      </w:pPr>
      <w:r w:rsidRPr="00543937">
        <w:rPr>
          <w:lang w:val="en-IE"/>
        </w:rPr>
        <w:t>IS6110_F1 5’-CAG</w:t>
      </w:r>
      <w:r w:rsidR="004C3ABE" w:rsidRPr="00543937">
        <w:rPr>
          <w:lang w:val="en-IE"/>
        </w:rPr>
        <w:t>-</w:t>
      </w:r>
      <w:r w:rsidRPr="00543937">
        <w:rPr>
          <w:lang w:val="en-IE"/>
        </w:rPr>
        <w:t>GAC</w:t>
      </w:r>
      <w:r w:rsidR="004C3ABE" w:rsidRPr="00543937">
        <w:rPr>
          <w:lang w:val="en-IE"/>
        </w:rPr>
        <w:t>-</w:t>
      </w:r>
      <w:r w:rsidRPr="00543937">
        <w:rPr>
          <w:lang w:val="en-IE"/>
        </w:rPr>
        <w:t>CAC</w:t>
      </w:r>
      <w:r w:rsidR="004C3ABE" w:rsidRPr="00543937">
        <w:rPr>
          <w:lang w:val="en-IE"/>
        </w:rPr>
        <w:t>-</w:t>
      </w:r>
      <w:r w:rsidRPr="00543937">
        <w:rPr>
          <w:lang w:val="en-IE"/>
        </w:rPr>
        <w:t>GAT</w:t>
      </w:r>
      <w:r w:rsidR="004C3ABE" w:rsidRPr="00543937">
        <w:rPr>
          <w:lang w:val="en-IE"/>
        </w:rPr>
        <w:t>-</w:t>
      </w:r>
      <w:r w:rsidRPr="00543937">
        <w:rPr>
          <w:lang w:val="en-IE"/>
        </w:rPr>
        <w:t>CGC</w:t>
      </w:r>
      <w:r w:rsidR="004C3ABE" w:rsidRPr="00543937">
        <w:rPr>
          <w:lang w:val="en-IE"/>
        </w:rPr>
        <w:t>-</w:t>
      </w:r>
      <w:r w:rsidRPr="00543937">
        <w:rPr>
          <w:lang w:val="en-IE"/>
        </w:rPr>
        <w:t>TGA</w:t>
      </w:r>
      <w:r w:rsidR="004C3ABE" w:rsidRPr="00543937">
        <w:rPr>
          <w:lang w:val="en-IE"/>
        </w:rPr>
        <w:t>-</w:t>
      </w:r>
      <w:r w:rsidRPr="00543937">
        <w:rPr>
          <w:lang w:val="en-IE"/>
        </w:rPr>
        <w:t xml:space="preserve">TC; </w:t>
      </w:r>
      <w:r w:rsidR="00C30ABF" w:rsidRPr="00543937">
        <w:rPr>
          <w:lang w:val="en-IE"/>
        </w:rPr>
        <w:br/>
      </w:r>
      <w:r w:rsidRPr="00543937">
        <w:rPr>
          <w:lang w:val="en-IE"/>
        </w:rPr>
        <w:t>IS6110_R1 5’-</w:t>
      </w:r>
      <w:r w:rsidRPr="00543937">
        <w:rPr>
          <w:color w:val="0B0B0B"/>
          <w:sz w:val="19"/>
          <w:lang w:val="en-IE"/>
        </w:rPr>
        <w:t xml:space="preserve"> CTG</w:t>
      </w:r>
      <w:r w:rsidR="004C3ABE" w:rsidRPr="00543937">
        <w:rPr>
          <w:color w:val="0B0B0B"/>
          <w:sz w:val="19"/>
          <w:lang w:val="en-IE"/>
        </w:rPr>
        <w:t>-</w:t>
      </w:r>
      <w:r w:rsidRPr="00543937">
        <w:rPr>
          <w:color w:val="0B0B0B"/>
          <w:sz w:val="19"/>
          <w:lang w:val="en-IE"/>
        </w:rPr>
        <w:t>CCC</w:t>
      </w:r>
      <w:r w:rsidR="004C3ABE" w:rsidRPr="00543937">
        <w:rPr>
          <w:color w:val="0B0B0B"/>
          <w:sz w:val="19"/>
          <w:lang w:val="en-IE"/>
        </w:rPr>
        <w:t>-</w:t>
      </w:r>
      <w:r w:rsidRPr="00543937">
        <w:rPr>
          <w:color w:val="0B0B0B"/>
          <w:sz w:val="19"/>
          <w:lang w:val="en-IE"/>
        </w:rPr>
        <w:t>AGG</w:t>
      </w:r>
      <w:r w:rsidR="004C3ABE" w:rsidRPr="00543937">
        <w:rPr>
          <w:color w:val="0B0B0B"/>
          <w:sz w:val="19"/>
          <w:lang w:val="en-IE"/>
        </w:rPr>
        <w:t>-</w:t>
      </w:r>
      <w:r w:rsidRPr="00543937">
        <w:rPr>
          <w:color w:val="0B0B0B"/>
          <w:sz w:val="19"/>
          <w:lang w:val="en-IE"/>
        </w:rPr>
        <w:t>TCG</w:t>
      </w:r>
      <w:r w:rsidR="004C3ABE" w:rsidRPr="00543937">
        <w:rPr>
          <w:color w:val="0B0B0B"/>
          <w:sz w:val="19"/>
          <w:lang w:val="en-IE"/>
        </w:rPr>
        <w:t>-</w:t>
      </w:r>
      <w:r w:rsidRPr="00543937">
        <w:rPr>
          <w:color w:val="0B0B0B"/>
          <w:sz w:val="19"/>
          <w:lang w:val="en-IE"/>
        </w:rPr>
        <w:t>ACA</w:t>
      </w:r>
      <w:r w:rsidR="004C3ABE" w:rsidRPr="00543937">
        <w:rPr>
          <w:color w:val="0B0B0B"/>
          <w:sz w:val="19"/>
          <w:lang w:val="en-IE"/>
        </w:rPr>
        <w:t>-</w:t>
      </w:r>
      <w:r w:rsidRPr="00543937">
        <w:rPr>
          <w:color w:val="0B0B0B"/>
          <w:sz w:val="19"/>
          <w:lang w:val="en-IE"/>
        </w:rPr>
        <w:t>CAT</w:t>
      </w:r>
      <w:r w:rsidR="004C3ABE" w:rsidRPr="00543937">
        <w:rPr>
          <w:color w:val="0B0B0B"/>
          <w:sz w:val="19"/>
          <w:lang w:val="en-IE"/>
        </w:rPr>
        <w:t>-</w:t>
      </w:r>
      <w:r w:rsidRPr="00543937">
        <w:rPr>
          <w:color w:val="0B0B0B"/>
          <w:sz w:val="19"/>
          <w:lang w:val="en-IE"/>
        </w:rPr>
        <w:t xml:space="preserve">AG; </w:t>
      </w:r>
      <w:r w:rsidR="009876DA" w:rsidRPr="00543937">
        <w:rPr>
          <w:color w:val="0B0B0B"/>
          <w:sz w:val="19"/>
          <w:lang w:val="en-IE"/>
        </w:rPr>
        <w:br/>
      </w:r>
      <w:r w:rsidRPr="00543937">
        <w:rPr>
          <w:color w:val="0B0B0B"/>
          <w:sz w:val="19"/>
          <w:lang w:val="en-IE"/>
        </w:rPr>
        <w:t>IS611</w:t>
      </w:r>
      <w:r w:rsidR="001C12D7" w:rsidRPr="00543937">
        <w:rPr>
          <w:color w:val="0B0B0B"/>
          <w:sz w:val="19"/>
          <w:lang w:val="en-IE"/>
        </w:rPr>
        <w:t>0</w:t>
      </w:r>
      <w:r w:rsidRPr="00543937">
        <w:rPr>
          <w:color w:val="0B0B0B"/>
          <w:sz w:val="19"/>
          <w:lang w:val="en-IE"/>
        </w:rPr>
        <w:t>_P1 5’</w:t>
      </w:r>
      <w:r w:rsidRPr="00543937">
        <w:rPr>
          <w:color w:val="090909"/>
          <w:sz w:val="19"/>
          <w:lang w:val="en-IE"/>
        </w:rPr>
        <w:t>-CGT</w:t>
      </w:r>
      <w:r w:rsidR="004C3ABE" w:rsidRPr="00543937">
        <w:rPr>
          <w:color w:val="090909"/>
          <w:sz w:val="19"/>
          <w:lang w:val="en-IE"/>
        </w:rPr>
        <w:t>-</w:t>
      </w:r>
      <w:r w:rsidRPr="00543937">
        <w:rPr>
          <w:color w:val="090909"/>
          <w:sz w:val="19"/>
          <w:lang w:val="en-IE"/>
        </w:rPr>
        <w:t>CCC</w:t>
      </w:r>
      <w:r w:rsidR="004C3ABE" w:rsidRPr="00543937">
        <w:rPr>
          <w:color w:val="090909"/>
          <w:sz w:val="19"/>
          <w:lang w:val="en-IE"/>
        </w:rPr>
        <w:t>-</w:t>
      </w:r>
      <w:r w:rsidRPr="00543937">
        <w:rPr>
          <w:color w:val="090909"/>
          <w:sz w:val="19"/>
          <w:lang w:val="en-IE"/>
        </w:rPr>
        <w:t>GCC</w:t>
      </w:r>
      <w:r w:rsidR="004C3ABE" w:rsidRPr="00543937">
        <w:rPr>
          <w:color w:val="090909"/>
          <w:sz w:val="19"/>
          <w:lang w:val="en-IE"/>
        </w:rPr>
        <w:t>-</w:t>
      </w:r>
      <w:r w:rsidRPr="00543937">
        <w:rPr>
          <w:color w:val="090909"/>
          <w:sz w:val="19"/>
          <w:lang w:val="en-IE"/>
        </w:rPr>
        <w:t>GAT</w:t>
      </w:r>
      <w:r w:rsidR="004C3ABE" w:rsidRPr="00543937">
        <w:rPr>
          <w:color w:val="090909"/>
          <w:sz w:val="19"/>
          <w:lang w:val="en-IE"/>
        </w:rPr>
        <w:t>-</w:t>
      </w:r>
      <w:r w:rsidRPr="00543937">
        <w:rPr>
          <w:color w:val="090909"/>
          <w:sz w:val="19"/>
          <w:lang w:val="en-IE"/>
        </w:rPr>
        <w:t>CTC</w:t>
      </w:r>
      <w:r w:rsidR="004C3ABE" w:rsidRPr="00543937">
        <w:rPr>
          <w:color w:val="090909"/>
          <w:sz w:val="19"/>
          <w:lang w:val="en-IE"/>
        </w:rPr>
        <w:t>-</w:t>
      </w:r>
      <w:r w:rsidRPr="00543937">
        <w:rPr>
          <w:color w:val="090909"/>
          <w:sz w:val="19"/>
          <w:lang w:val="en-IE"/>
        </w:rPr>
        <w:t>GTC</w:t>
      </w:r>
      <w:r w:rsidR="004C3ABE" w:rsidRPr="00543937">
        <w:rPr>
          <w:color w:val="090909"/>
          <w:sz w:val="19"/>
          <w:lang w:val="en-IE"/>
        </w:rPr>
        <w:t>-</w:t>
      </w:r>
      <w:r w:rsidRPr="00543937">
        <w:rPr>
          <w:color w:val="090909"/>
          <w:sz w:val="19"/>
          <w:lang w:val="en-IE"/>
        </w:rPr>
        <w:t xml:space="preserve">CA, </w:t>
      </w:r>
      <w:r w:rsidR="0035768C" w:rsidRPr="00543937">
        <w:rPr>
          <w:color w:val="090909"/>
          <w:sz w:val="19"/>
          <w:lang w:val="en-IE"/>
        </w:rPr>
        <w:br/>
      </w:r>
      <w:r w:rsidRPr="00543937">
        <w:rPr>
          <w:color w:val="090909"/>
          <w:sz w:val="19"/>
          <w:lang w:val="en-IE"/>
        </w:rPr>
        <w:t>amongst others</w:t>
      </w:r>
      <w:r w:rsidRPr="00543937">
        <w:rPr>
          <w:lang w:val="en-IE"/>
        </w:rPr>
        <w:t xml:space="preserve"> (Dykema</w:t>
      </w:r>
      <w:r w:rsidR="00A0576A" w:rsidRPr="00543937">
        <w:rPr>
          <w:lang w:val="en-IE"/>
        </w:rPr>
        <w:t xml:space="preserve"> </w:t>
      </w:r>
      <w:r w:rsidR="00A0576A" w:rsidRPr="00543937">
        <w:rPr>
          <w:i/>
          <w:iCs/>
          <w:lang w:val="en-IE"/>
        </w:rPr>
        <w:t>et al.</w:t>
      </w:r>
      <w:r w:rsidRPr="00543937">
        <w:rPr>
          <w:i/>
          <w:iCs/>
          <w:lang w:val="en-IE"/>
        </w:rPr>
        <w:t>,</w:t>
      </w:r>
      <w:r w:rsidRPr="00543937">
        <w:rPr>
          <w:lang w:val="en-IE"/>
        </w:rPr>
        <w:t xml:space="preserve"> 2016). </w:t>
      </w:r>
    </w:p>
    <w:p w14:paraId="5535DBFD" w14:textId="4D744998" w:rsidR="006A389B" w:rsidRPr="00882D2B" w:rsidRDefault="006A389B" w:rsidP="009431C4">
      <w:pPr>
        <w:pStyle w:val="111Para"/>
        <w:rPr>
          <w:lang w:val="en-IE"/>
        </w:rPr>
      </w:pPr>
      <w:r w:rsidRPr="00882D2B">
        <w:rPr>
          <w:lang w:val="en-IE"/>
        </w:rPr>
        <w:t xml:space="preserve">Amplification products are preferably detected by hybridisation with probes in real-time assays or visualised by gel electrophoresis and staining. Commercial kits and the </w:t>
      </w:r>
      <w:r w:rsidR="00997060">
        <w:rPr>
          <w:lang w:val="en-IE"/>
        </w:rPr>
        <w:t>‘</w:t>
      </w:r>
      <w:r w:rsidRPr="00882D2B">
        <w:rPr>
          <w:lang w:val="en-IE"/>
        </w:rPr>
        <w:t>in-house</w:t>
      </w:r>
      <w:r w:rsidR="00997060">
        <w:rPr>
          <w:lang w:val="en-IE"/>
        </w:rPr>
        <w:t>’</w:t>
      </w:r>
      <w:r w:rsidRPr="00882D2B">
        <w:rPr>
          <w:lang w:val="en-IE"/>
        </w:rPr>
        <w:t xml:space="preserve"> methods, in fresh, frozen or boric </w:t>
      </w:r>
      <w:r w:rsidRPr="00882D2B">
        <w:t>acid</w:t>
      </w:r>
      <w:r w:rsidRPr="00882D2B">
        <w:rPr>
          <w:lang w:val="en-IE"/>
        </w:rPr>
        <w:t xml:space="preserve">-preserved tissues often do not perform well during interlaboratory </w:t>
      </w:r>
      <w:r w:rsidRPr="00882D2B">
        <w:rPr>
          <w:lang w:val="en-IE"/>
        </w:rPr>
        <w:lastRenderedPageBreak/>
        <w:t>comparisons, and hence may require additional validation to ensure accuracy. False-positives, or false-negative results in specimens containing low numbers of bacilli, are often of concern. Pre-analytical sample processing including decontamination and DNA extraction procedures, elimination of polymerase enzyme inhibitors, etc., have considerable impact on assay performance.</w:t>
      </w:r>
      <w:r w:rsidR="00140119" w:rsidRPr="00882D2B">
        <w:rPr>
          <w:lang w:val="en-IE"/>
        </w:rPr>
        <w:t xml:space="preserve"> </w:t>
      </w:r>
      <w:r w:rsidRPr="00882D2B">
        <w:rPr>
          <w:lang w:val="en-IE"/>
        </w:rPr>
        <w:t>Use of standard operating procedures, internal and external extraction and amplification controls, procedures for the prevention of cross-contamination, and application of closed tube real-time PCR assays are highly recommended for the reliable molecular genetic identification of members of the MTBC.</w:t>
      </w:r>
      <w:r w:rsidR="00140119" w:rsidRPr="00882D2B">
        <w:rPr>
          <w:lang w:val="en-IE"/>
        </w:rPr>
        <w:t xml:space="preserve"> </w:t>
      </w:r>
    </w:p>
    <w:p w14:paraId="0E455467" w14:textId="7C23D047" w:rsidR="006A389B" w:rsidRPr="00882D2B" w:rsidRDefault="006A389B" w:rsidP="00410052">
      <w:pPr>
        <w:pStyle w:val="111"/>
        <w:keepNext/>
        <w:rPr>
          <w:lang w:val="en-IE"/>
        </w:rPr>
      </w:pPr>
      <w:r w:rsidRPr="00882D2B">
        <w:rPr>
          <w:lang w:val="en-IE"/>
        </w:rPr>
        <w:t>1.3.2</w:t>
      </w:r>
      <w:r w:rsidR="009431C4" w:rsidRPr="00882D2B">
        <w:rPr>
          <w:lang w:val="en-IE"/>
        </w:rPr>
        <w:t>.</w:t>
      </w:r>
      <w:r w:rsidR="009431C4" w:rsidRPr="00882D2B">
        <w:rPr>
          <w:lang w:val="en-IE"/>
        </w:rPr>
        <w:tab/>
      </w:r>
      <w:r w:rsidR="0066778B">
        <w:rPr>
          <w:lang w:val="en-IE"/>
        </w:rPr>
        <w:t>DNA fi</w:t>
      </w:r>
      <w:r w:rsidR="0074092D">
        <w:rPr>
          <w:lang w:val="en-IE"/>
        </w:rPr>
        <w:t>ngerprinting</w:t>
      </w:r>
    </w:p>
    <w:p w14:paraId="14C39E94" w14:textId="08AF59EA" w:rsidR="006A389B" w:rsidRPr="00882D2B" w:rsidRDefault="006A389B" w:rsidP="006A389B">
      <w:pPr>
        <w:pStyle w:val="111Para"/>
        <w:rPr>
          <w:lang w:val="en-IE"/>
        </w:rPr>
      </w:pPr>
      <w:r w:rsidRPr="00882D2B">
        <w:rPr>
          <w:lang w:val="en-IE"/>
        </w:rPr>
        <w:t xml:space="preserve">A variety of DNA-fingerprinting techniques has been developed to distinguish members of the MTBC for molecular epidemiological purposes (Guimaraes </w:t>
      </w:r>
      <w:r w:rsidR="009431C4" w:rsidRPr="00882D2B">
        <w:rPr>
          <w:lang w:val="en-IE"/>
        </w:rPr>
        <w:t>&amp;</w:t>
      </w:r>
      <w:r w:rsidRPr="00882D2B">
        <w:rPr>
          <w:lang w:val="en-IE"/>
        </w:rPr>
        <w:t xml:space="preserve"> Zimpel, 2020</w:t>
      </w:r>
      <w:r w:rsidR="00246AE2" w:rsidRPr="00882D2B">
        <w:rPr>
          <w:lang w:val="en-IE"/>
        </w:rPr>
        <w:t xml:space="preserve">; Merker </w:t>
      </w:r>
      <w:r w:rsidR="00246AE2" w:rsidRPr="00882D2B">
        <w:rPr>
          <w:i/>
          <w:iCs/>
          <w:lang w:val="en-IE"/>
        </w:rPr>
        <w:t>et al.,</w:t>
      </w:r>
      <w:r w:rsidR="00246AE2" w:rsidRPr="00882D2B">
        <w:rPr>
          <w:lang w:val="en-IE"/>
        </w:rPr>
        <w:t xml:space="preserve"> 2017</w:t>
      </w:r>
      <w:r w:rsidRPr="00882D2B">
        <w:rPr>
          <w:lang w:val="en-IE"/>
        </w:rPr>
        <w:t xml:space="preserve">). These methods are useful in identifying and tracing sources of origin, as well as for tracking transmission and spread of </w:t>
      </w:r>
      <w:r w:rsidR="00997060">
        <w:rPr>
          <w:iCs/>
          <w:lang w:val="en-IE"/>
        </w:rPr>
        <w:t>MTBC members</w:t>
      </w:r>
      <w:r w:rsidRPr="00882D2B">
        <w:rPr>
          <w:lang w:val="en-IE"/>
        </w:rPr>
        <w:t xml:space="preserve"> within herds and globally. Spacer oligonucleotide typing, or </w:t>
      </w:r>
      <w:proofErr w:type="spellStart"/>
      <w:r w:rsidRPr="00882D2B">
        <w:rPr>
          <w:lang w:val="en-IE"/>
        </w:rPr>
        <w:t>spoligotyping</w:t>
      </w:r>
      <w:proofErr w:type="spellEnd"/>
      <w:r w:rsidRPr="00882D2B">
        <w:rPr>
          <w:lang w:val="en-IE"/>
        </w:rPr>
        <w:t xml:space="preserve">, is a </w:t>
      </w:r>
      <w:r w:rsidR="005F3ACF" w:rsidRPr="00882D2B">
        <w:rPr>
          <w:lang w:val="en-IE"/>
        </w:rPr>
        <w:t>PCR</w:t>
      </w:r>
      <w:r w:rsidRPr="00882D2B">
        <w:rPr>
          <w:lang w:val="en-IE"/>
        </w:rPr>
        <w:t>-based method</w:t>
      </w:r>
      <w:r w:rsidRPr="00882D2B" w:rsidDel="0057615F">
        <w:rPr>
          <w:lang w:val="en-IE"/>
        </w:rPr>
        <w:t xml:space="preserve"> </w:t>
      </w:r>
      <w:r w:rsidRPr="00882D2B">
        <w:rPr>
          <w:lang w:val="en-IE"/>
        </w:rPr>
        <w:t>that has been widely used for genotyping members of the MTBC (</w:t>
      </w:r>
      <w:proofErr w:type="spellStart"/>
      <w:r w:rsidRPr="00882D2B">
        <w:rPr>
          <w:lang w:val="en-IE"/>
        </w:rPr>
        <w:t>Kamerbeek</w:t>
      </w:r>
      <w:proofErr w:type="spellEnd"/>
      <w:r w:rsidRPr="00882D2B">
        <w:rPr>
          <w:lang w:val="en-IE"/>
        </w:rPr>
        <w:t xml:space="preserve"> </w:t>
      </w:r>
      <w:r w:rsidRPr="00882D2B">
        <w:rPr>
          <w:i/>
          <w:iCs/>
          <w:lang w:val="en-IE"/>
        </w:rPr>
        <w:t>et al</w:t>
      </w:r>
      <w:r w:rsidR="009431C4" w:rsidRPr="00882D2B">
        <w:rPr>
          <w:i/>
          <w:iCs/>
          <w:lang w:val="en-IE"/>
        </w:rPr>
        <w:t>.</w:t>
      </w:r>
      <w:r w:rsidRPr="00882D2B">
        <w:rPr>
          <w:i/>
          <w:iCs/>
          <w:lang w:val="en-IE"/>
        </w:rPr>
        <w:t>,</w:t>
      </w:r>
      <w:r w:rsidRPr="00882D2B">
        <w:rPr>
          <w:lang w:val="en-IE"/>
        </w:rPr>
        <w:t xml:space="preserve"> 1997).</w:t>
      </w:r>
      <w:r w:rsidR="00140119" w:rsidRPr="00882D2B">
        <w:rPr>
          <w:lang w:val="en-IE"/>
        </w:rPr>
        <w:t xml:space="preserve"> </w:t>
      </w:r>
      <w:r w:rsidRPr="00882D2B">
        <w:rPr>
          <w:lang w:val="en-IE"/>
        </w:rPr>
        <w:t>The method involves amplification of chromosomally-encoded loci that contain a variable number of short direct repeat sequences interspersed with nonrepetitive spacers.</w:t>
      </w:r>
      <w:r w:rsidR="00140119" w:rsidRPr="00882D2B">
        <w:rPr>
          <w:lang w:val="en-IE"/>
        </w:rPr>
        <w:t xml:space="preserve"> </w:t>
      </w:r>
      <w:r w:rsidRPr="00882D2B">
        <w:rPr>
          <w:lang w:val="en-IE"/>
        </w:rPr>
        <w:t>Strain-dependent “</w:t>
      </w:r>
      <w:proofErr w:type="spellStart"/>
      <w:r w:rsidRPr="00882D2B">
        <w:rPr>
          <w:lang w:val="en-IE"/>
        </w:rPr>
        <w:t>spoligotype</w:t>
      </w:r>
      <w:proofErr w:type="spellEnd"/>
      <w:r w:rsidRPr="00882D2B">
        <w:rPr>
          <w:lang w:val="en-IE"/>
        </w:rPr>
        <w:t xml:space="preserve">” patterns of the </w:t>
      </w:r>
      <w:r w:rsidRPr="00882D2B">
        <w:rPr>
          <w:i/>
          <w:iCs/>
          <w:lang w:val="en-IE"/>
        </w:rPr>
        <w:t>in</w:t>
      </w:r>
      <w:r w:rsidR="009431C4" w:rsidRPr="00882D2B">
        <w:rPr>
          <w:i/>
          <w:iCs/>
          <w:lang w:val="en-IE"/>
        </w:rPr>
        <w:t>-</w:t>
      </w:r>
      <w:r w:rsidRPr="00882D2B">
        <w:rPr>
          <w:i/>
          <w:iCs/>
          <w:lang w:val="en-IE"/>
        </w:rPr>
        <w:t>vitro</w:t>
      </w:r>
      <w:r w:rsidRPr="00882D2B">
        <w:rPr>
          <w:lang w:val="en-IE"/>
        </w:rPr>
        <w:t>-amplified DNA are then determined after hybrid</w:t>
      </w:r>
      <w:r w:rsidR="00861AC4" w:rsidRPr="00882D2B">
        <w:rPr>
          <w:lang w:val="en-IE"/>
        </w:rPr>
        <w:t>is</w:t>
      </w:r>
      <w:r w:rsidRPr="00882D2B">
        <w:rPr>
          <w:lang w:val="en-IE"/>
        </w:rPr>
        <w:t>ation with multiple spacer oligonucleotides, and represented as digital codes.</w:t>
      </w:r>
      <w:r w:rsidR="00140119" w:rsidRPr="00882D2B">
        <w:rPr>
          <w:lang w:val="en-IE"/>
        </w:rPr>
        <w:t xml:space="preserve"> </w:t>
      </w:r>
      <w:r w:rsidRPr="00882D2B">
        <w:rPr>
          <w:lang w:val="en-IE"/>
        </w:rPr>
        <w:t xml:space="preserve">The implementation of standardised protocols and nomenclature for identification and designation of </w:t>
      </w:r>
      <w:proofErr w:type="spellStart"/>
      <w:r w:rsidRPr="00882D2B">
        <w:rPr>
          <w:lang w:val="en-IE"/>
        </w:rPr>
        <w:t>spoligotypes</w:t>
      </w:r>
      <w:proofErr w:type="spellEnd"/>
      <w:r w:rsidRPr="00882D2B">
        <w:rPr>
          <w:lang w:val="en-IE"/>
        </w:rPr>
        <w:t xml:space="preserve"> and the establishment of online searchable databases for pattern matching has greatly enabled interlaboratory comparison of </w:t>
      </w:r>
      <w:proofErr w:type="spellStart"/>
      <w:r w:rsidRPr="00882D2B">
        <w:rPr>
          <w:lang w:val="en-IE"/>
        </w:rPr>
        <w:t>spoligotypes</w:t>
      </w:r>
      <w:proofErr w:type="spellEnd"/>
      <w:r w:rsidRPr="00882D2B">
        <w:rPr>
          <w:lang w:val="en-IE"/>
        </w:rPr>
        <w:t xml:space="preserve"> for strain tracking and epidemiology</w:t>
      </w:r>
      <w:r w:rsidRPr="00882D2B">
        <w:rPr>
          <w:rStyle w:val="FootnoteReference"/>
          <w:lang w:val="en-IE"/>
        </w:rPr>
        <w:footnoteReference w:id="3"/>
      </w:r>
      <w:r w:rsidRPr="00882D2B">
        <w:rPr>
          <w:lang w:val="en-IE"/>
        </w:rPr>
        <w:t xml:space="preserve"> (see </w:t>
      </w:r>
      <w:proofErr w:type="spellStart"/>
      <w:r w:rsidRPr="00882D2B">
        <w:rPr>
          <w:lang w:val="en-IE"/>
        </w:rPr>
        <w:t>Couvin</w:t>
      </w:r>
      <w:proofErr w:type="spellEnd"/>
      <w:r w:rsidRPr="00882D2B">
        <w:rPr>
          <w:lang w:val="en-IE"/>
        </w:rPr>
        <w:t xml:space="preserve"> </w:t>
      </w:r>
      <w:r w:rsidRPr="00882D2B">
        <w:rPr>
          <w:i/>
          <w:iCs/>
          <w:lang w:val="en-IE"/>
        </w:rPr>
        <w:t>et al.</w:t>
      </w:r>
      <w:r w:rsidRPr="00882D2B">
        <w:rPr>
          <w:lang w:val="en-IE"/>
        </w:rPr>
        <w:t xml:space="preserve">, 2019). </w:t>
      </w:r>
      <w:proofErr w:type="spellStart"/>
      <w:r w:rsidR="00AA0F69">
        <w:rPr>
          <w:lang w:val="en-IE"/>
        </w:rPr>
        <w:t>Spoligotyping</w:t>
      </w:r>
      <w:proofErr w:type="spellEnd"/>
      <w:r w:rsidR="00AA0F69">
        <w:rPr>
          <w:lang w:val="en-IE"/>
        </w:rPr>
        <w:t xml:space="preserve"> has often been combined with mycobacterial interspersed repetitive units (MIRU)-variable tandem repeat (VNTR) typing to increase the discriminatory power of MTBC genotyping. Currently a 24-loci MIRU-VNTR PCR assay is used </w:t>
      </w:r>
      <w:r w:rsidR="00662561" w:rsidRPr="0004207C">
        <w:rPr>
          <w:highlight w:val="yellow"/>
          <w:u w:val="double"/>
          <w:lang w:val="en-IE"/>
        </w:rPr>
        <w:t xml:space="preserve">for </w:t>
      </w:r>
      <w:r w:rsidR="00662561" w:rsidRPr="0004207C">
        <w:rPr>
          <w:i/>
          <w:iCs/>
          <w:highlight w:val="yellow"/>
          <w:u w:val="double"/>
          <w:lang w:val="en-IE"/>
        </w:rPr>
        <w:t>M. tuberculosis</w:t>
      </w:r>
      <w:r w:rsidR="009544A4">
        <w:rPr>
          <w:i/>
          <w:iCs/>
          <w:lang w:val="en-IE"/>
        </w:rPr>
        <w:t xml:space="preserve"> </w:t>
      </w:r>
      <w:r w:rsidR="00511CED">
        <w:rPr>
          <w:lang w:val="en-IE"/>
        </w:rPr>
        <w:t xml:space="preserve">(Supply </w:t>
      </w:r>
      <w:r w:rsidR="00511CED" w:rsidRPr="00B114AA">
        <w:rPr>
          <w:i/>
          <w:lang w:val="en-IE"/>
        </w:rPr>
        <w:t>et al</w:t>
      </w:r>
      <w:r w:rsidR="00511CED">
        <w:rPr>
          <w:i/>
          <w:lang w:val="en-IE"/>
        </w:rPr>
        <w:t>.</w:t>
      </w:r>
      <w:r w:rsidR="00511CED" w:rsidRPr="00B114AA">
        <w:rPr>
          <w:i/>
          <w:lang w:val="en-IE"/>
        </w:rPr>
        <w:t>,</w:t>
      </w:r>
      <w:r w:rsidR="00511CED">
        <w:rPr>
          <w:lang w:val="en-IE"/>
        </w:rPr>
        <w:t xml:space="preserve"> 2006) </w:t>
      </w:r>
      <w:r w:rsidR="00AA0F69">
        <w:rPr>
          <w:lang w:val="en-IE"/>
        </w:rPr>
        <w:t xml:space="preserve">but optimisation of the combination of loci for a specific region is recommended </w:t>
      </w:r>
      <w:r w:rsidR="009544A4" w:rsidRPr="0004207C">
        <w:rPr>
          <w:highlight w:val="yellow"/>
          <w:u w:val="double"/>
          <w:lang w:val="en-IE"/>
        </w:rPr>
        <w:t>fo</w:t>
      </w:r>
      <w:r w:rsidR="0004207C" w:rsidRPr="0004207C">
        <w:rPr>
          <w:highlight w:val="yellow"/>
          <w:u w:val="double"/>
          <w:lang w:val="en-IE"/>
        </w:rPr>
        <w:t>r</w:t>
      </w:r>
      <w:r w:rsidR="009544A4" w:rsidRPr="0004207C">
        <w:rPr>
          <w:highlight w:val="yellow"/>
          <w:u w:val="double"/>
          <w:lang w:val="en-IE"/>
        </w:rPr>
        <w:t xml:space="preserve"> </w:t>
      </w:r>
      <w:r w:rsidR="009544A4" w:rsidRPr="0004207C">
        <w:rPr>
          <w:i/>
          <w:iCs/>
          <w:highlight w:val="yellow"/>
          <w:u w:val="double"/>
          <w:lang w:val="en-IE"/>
        </w:rPr>
        <w:t>M</w:t>
      </w:r>
      <w:r w:rsidR="00FC05AF">
        <w:rPr>
          <w:i/>
          <w:iCs/>
          <w:highlight w:val="yellow"/>
          <w:u w:val="double"/>
          <w:lang w:val="en-IE"/>
        </w:rPr>
        <w:t>.</w:t>
      </w:r>
      <w:r w:rsidR="00331FE0" w:rsidRPr="0004207C">
        <w:rPr>
          <w:i/>
          <w:iCs/>
          <w:highlight w:val="yellow"/>
          <w:u w:val="double"/>
          <w:lang w:val="en-IE"/>
        </w:rPr>
        <w:t> </w:t>
      </w:r>
      <w:proofErr w:type="spellStart"/>
      <w:r w:rsidR="009544A4" w:rsidRPr="0004207C">
        <w:rPr>
          <w:i/>
          <w:iCs/>
          <w:highlight w:val="yellow"/>
          <w:u w:val="double"/>
          <w:lang w:val="en-IE"/>
        </w:rPr>
        <w:t>bovis</w:t>
      </w:r>
      <w:proofErr w:type="spellEnd"/>
      <w:r w:rsidR="00DF0EBB" w:rsidRPr="0004207C">
        <w:rPr>
          <w:highlight w:val="yellow"/>
          <w:u w:val="double"/>
          <w:lang w:val="en-IE"/>
        </w:rPr>
        <w:t xml:space="preserve"> and </w:t>
      </w:r>
      <w:r w:rsidR="00DF0EBB" w:rsidRPr="0004207C">
        <w:rPr>
          <w:i/>
          <w:iCs/>
          <w:highlight w:val="yellow"/>
          <w:u w:val="double"/>
          <w:lang w:val="en-IE"/>
        </w:rPr>
        <w:t>M.</w:t>
      </w:r>
      <w:r w:rsidR="00331FE0" w:rsidRPr="0004207C">
        <w:rPr>
          <w:i/>
          <w:iCs/>
          <w:highlight w:val="yellow"/>
          <w:u w:val="double"/>
          <w:lang w:val="en-IE"/>
        </w:rPr>
        <w:t> </w:t>
      </w:r>
      <w:proofErr w:type="spellStart"/>
      <w:r w:rsidR="00DF0EBB" w:rsidRPr="0004207C">
        <w:rPr>
          <w:i/>
          <w:iCs/>
          <w:highlight w:val="yellow"/>
          <w:u w:val="double"/>
          <w:lang w:val="en-IE"/>
        </w:rPr>
        <w:t>caprae</w:t>
      </w:r>
      <w:proofErr w:type="spellEnd"/>
      <w:r w:rsidR="00DF0EBB">
        <w:rPr>
          <w:i/>
          <w:iCs/>
          <w:lang w:val="en-IE"/>
        </w:rPr>
        <w:t xml:space="preserve"> </w:t>
      </w:r>
      <w:r w:rsidR="00AA0F69" w:rsidRPr="00DF0EBB">
        <w:rPr>
          <w:lang w:val="en-IE"/>
        </w:rPr>
        <w:t>to</w:t>
      </w:r>
      <w:r w:rsidR="00AA0F69">
        <w:rPr>
          <w:lang w:val="en-IE"/>
        </w:rPr>
        <w:t xml:space="preserve"> decrease the cost and time spent performing the assays whilst maximising discriminatory power.</w:t>
      </w:r>
    </w:p>
    <w:p w14:paraId="688998A5" w14:textId="1D1072FA" w:rsidR="00A73DE9" w:rsidRPr="00882D2B" w:rsidRDefault="00A73DE9" w:rsidP="00A73DE9">
      <w:pPr>
        <w:pStyle w:val="111"/>
        <w:rPr>
          <w:lang w:val="en-IE"/>
        </w:rPr>
      </w:pPr>
      <w:r w:rsidRPr="00882D2B">
        <w:rPr>
          <w:lang w:val="en-IE"/>
        </w:rPr>
        <w:t>1.3.3</w:t>
      </w:r>
      <w:r w:rsidR="00140119" w:rsidRPr="00882D2B">
        <w:rPr>
          <w:lang w:val="en-IE"/>
        </w:rPr>
        <w:t>.</w:t>
      </w:r>
      <w:r w:rsidR="00140119" w:rsidRPr="00882D2B">
        <w:rPr>
          <w:lang w:val="en-IE"/>
        </w:rPr>
        <w:tab/>
      </w:r>
      <w:r w:rsidRPr="00882D2B">
        <w:rPr>
          <w:lang w:val="en-IE"/>
        </w:rPr>
        <w:t>Whole genome sequencing</w:t>
      </w:r>
    </w:p>
    <w:p w14:paraId="01B1D839" w14:textId="35A3362F" w:rsidR="00A73DE9" w:rsidRPr="00882D2B" w:rsidRDefault="00A73DE9" w:rsidP="00A73DE9">
      <w:pPr>
        <w:pStyle w:val="111Para"/>
        <w:rPr>
          <w:lang w:val="en-IE"/>
        </w:rPr>
      </w:pPr>
      <w:r w:rsidRPr="00882D2B">
        <w:rPr>
          <w:lang w:val="en-IE"/>
        </w:rPr>
        <w:t>The genomes of all members of the MTBC have been sequenced, and whole genome sequencing is increasingly being used routinely to genotype and distinguish between isolates for epidemiological studies as well as for understanding transmission chains</w:t>
      </w:r>
      <w:r w:rsidR="00412211">
        <w:rPr>
          <w:lang w:val="en-IE"/>
        </w:rPr>
        <w:t xml:space="preserve"> and dynamics</w:t>
      </w:r>
      <w:r w:rsidRPr="00882D2B">
        <w:rPr>
          <w:lang w:val="en-IE"/>
        </w:rPr>
        <w:t xml:space="preserve"> and MTBC evolution (Guimaraes </w:t>
      </w:r>
      <w:r w:rsidR="009431C4" w:rsidRPr="00882D2B">
        <w:rPr>
          <w:lang w:val="en-IE"/>
        </w:rPr>
        <w:t>&amp;</w:t>
      </w:r>
      <w:r w:rsidRPr="00882D2B">
        <w:rPr>
          <w:lang w:val="en-IE"/>
        </w:rPr>
        <w:t xml:space="preserve"> Zimpel, 2020).</w:t>
      </w:r>
    </w:p>
    <w:p w14:paraId="308E2A1A" w14:textId="77777777" w:rsidR="0015316B" w:rsidRPr="00882D2B" w:rsidRDefault="0015316B" w:rsidP="0041378A">
      <w:pPr>
        <w:pStyle w:val="1"/>
        <w:rPr>
          <w:lang w:val="en-IE"/>
        </w:rPr>
      </w:pPr>
      <w:r w:rsidRPr="00882D2B">
        <w:rPr>
          <w:lang w:val="en-IE"/>
        </w:rPr>
        <w:t>2.</w:t>
      </w:r>
      <w:r w:rsidRPr="00882D2B">
        <w:rPr>
          <w:lang w:val="en-IE"/>
        </w:rPr>
        <w:tab/>
        <w:t>Delayed hypersensitivity test</w:t>
      </w:r>
    </w:p>
    <w:p w14:paraId="58F1E33D" w14:textId="278D0C52" w:rsidR="0015316B" w:rsidRPr="00882D2B" w:rsidRDefault="0015316B" w:rsidP="00846462">
      <w:pPr>
        <w:pStyle w:val="11"/>
        <w:rPr>
          <w:lang w:val="en-IE"/>
        </w:rPr>
      </w:pPr>
      <w:r w:rsidRPr="00882D2B">
        <w:rPr>
          <w:lang w:val="en-IE"/>
        </w:rPr>
        <w:t>2.1.</w:t>
      </w:r>
      <w:r w:rsidRPr="00882D2B">
        <w:rPr>
          <w:lang w:val="en-IE"/>
        </w:rPr>
        <w:tab/>
        <w:t xml:space="preserve">The </w:t>
      </w:r>
      <w:r w:rsidR="009B0E38" w:rsidRPr="00882D2B">
        <w:rPr>
          <w:lang w:val="en-IE"/>
        </w:rPr>
        <w:t xml:space="preserve">intradermal </w:t>
      </w:r>
      <w:r w:rsidRPr="00882D2B">
        <w:rPr>
          <w:lang w:val="en-IE"/>
        </w:rPr>
        <w:t>tuberculin test</w:t>
      </w:r>
    </w:p>
    <w:p w14:paraId="108E5DCD" w14:textId="78261BDB" w:rsidR="00817C05" w:rsidRPr="00882D2B" w:rsidRDefault="00854F27" w:rsidP="00495202">
      <w:pPr>
        <w:pStyle w:val="11Para"/>
      </w:pPr>
      <w:r w:rsidRPr="00882D2B">
        <w:rPr>
          <w:lang w:val="en-IE"/>
        </w:rPr>
        <w:t xml:space="preserve">The intradermal tuberculin test is the standard method for the detection of tuberculosis in a wide variety of mammals, including bovine, ovine, caprine and cervid species. The test involves the intradermal administration of tuberculin purified protein derivative (PPD) and the measurement of increase in skin thickness at the site of injection resulting from a delayed hypersensitivity reaction after a specified time interval (for instance, 72 hours in cattle). </w:t>
      </w:r>
      <w:bookmarkStart w:id="8" w:name="_Hlk76376829"/>
    </w:p>
    <w:bookmarkEnd w:id="8"/>
    <w:p w14:paraId="2FDB58EC" w14:textId="7D21F8D6" w:rsidR="00854F27" w:rsidRPr="00E15A87" w:rsidRDefault="00E15A87" w:rsidP="009431C4">
      <w:pPr>
        <w:pStyle w:val="11Para"/>
        <w:rPr>
          <w:lang w:val="en-IE"/>
        </w:rPr>
      </w:pPr>
      <w:r>
        <w:rPr>
          <w:lang w:val="en-IE"/>
        </w:rPr>
        <w:t>The TST is not recommended for</w:t>
      </w:r>
      <w:r w:rsidRPr="00E15A87">
        <w:rPr>
          <w:lang w:val="en-IE"/>
        </w:rPr>
        <w:t xml:space="preserve"> </w:t>
      </w:r>
      <w:r w:rsidRPr="00882D2B">
        <w:rPr>
          <w:lang w:val="en-IE"/>
        </w:rPr>
        <w:t>companion</w:t>
      </w:r>
      <w:r w:rsidRPr="00882D2B">
        <w:rPr>
          <w:rFonts w:eastAsiaTheme="minorHAnsi"/>
          <w:lang w:val="en-IE"/>
        </w:rPr>
        <w:t xml:space="preserve"> animals</w:t>
      </w:r>
      <w:r w:rsidRPr="00882D2B">
        <w:rPr>
          <w:lang w:val="en-IE"/>
        </w:rPr>
        <w:t xml:space="preserve"> such as</w:t>
      </w:r>
      <w:r w:rsidRPr="00882D2B">
        <w:rPr>
          <w:rFonts w:eastAsiaTheme="minorHAnsi"/>
          <w:lang w:val="en-IE"/>
        </w:rPr>
        <w:t xml:space="preserve"> cats and dogs</w:t>
      </w:r>
      <w:r w:rsidRPr="00882D2B">
        <w:rPr>
          <w:lang w:val="en-IE"/>
        </w:rPr>
        <w:t xml:space="preserve">, </w:t>
      </w:r>
      <w:r w:rsidR="00042E02">
        <w:rPr>
          <w:lang w:val="en-IE"/>
        </w:rPr>
        <w:t xml:space="preserve">where </w:t>
      </w:r>
      <w:r w:rsidRPr="00882D2B">
        <w:rPr>
          <w:lang w:val="en-IE"/>
        </w:rPr>
        <w:t xml:space="preserve">radiographic examination has supplanted </w:t>
      </w:r>
      <w:r w:rsidR="00042E02">
        <w:rPr>
          <w:lang w:val="en-IE"/>
        </w:rPr>
        <w:t>its</w:t>
      </w:r>
      <w:r w:rsidRPr="00882D2B">
        <w:rPr>
          <w:lang w:val="en-IE"/>
        </w:rPr>
        <w:t xml:space="preserve"> use</w:t>
      </w:r>
      <w:r w:rsidR="00042E02">
        <w:rPr>
          <w:lang w:val="en-IE"/>
        </w:rPr>
        <w:t>.</w:t>
      </w:r>
    </w:p>
    <w:p w14:paraId="0C9C49B2" w14:textId="2ED5AB47" w:rsidR="00C41FDF" w:rsidRPr="00882D2B" w:rsidRDefault="00854F27" w:rsidP="009431C4">
      <w:pPr>
        <w:pStyle w:val="11Para"/>
        <w:rPr>
          <w:b/>
          <w:bCs/>
          <w:color w:val="0D0D0D" w:themeColor="text1" w:themeTint="F2"/>
          <w:lang w:val="en-IE"/>
        </w:rPr>
      </w:pPr>
      <w:r w:rsidRPr="00882D2B">
        <w:rPr>
          <w:lang w:val="en-IE"/>
        </w:rPr>
        <w:t xml:space="preserve">The </w:t>
      </w:r>
      <w:r w:rsidR="00EE2453">
        <w:rPr>
          <w:lang w:val="en-IE"/>
        </w:rPr>
        <w:t>TST</w:t>
      </w:r>
      <w:r w:rsidRPr="00882D2B">
        <w:rPr>
          <w:lang w:val="en-IE"/>
        </w:rPr>
        <w:t xml:space="preserve"> may be performed by single intradermal test (SIT) using PPD-B alone</w:t>
      </w:r>
      <w:r w:rsidR="00840F0F">
        <w:rPr>
          <w:lang w:val="en-IE"/>
        </w:rPr>
        <w:t>,</w:t>
      </w:r>
      <w:r w:rsidRPr="00882D2B">
        <w:rPr>
          <w:lang w:val="en-IE"/>
        </w:rPr>
        <w:t xml:space="preserve"> either as the single cervical test (SCT) or the caudal (tail) fold test (CFT); or by the comparative cervical test (CCT) that measures the difference in increased skin thickness </w:t>
      </w:r>
      <w:r w:rsidR="0028145D" w:rsidRPr="00882D2B">
        <w:rPr>
          <w:lang w:val="en-IE"/>
        </w:rPr>
        <w:t>between</w:t>
      </w:r>
      <w:r w:rsidRPr="00882D2B">
        <w:rPr>
          <w:lang w:val="en-IE"/>
        </w:rPr>
        <w:t xml:space="preserve"> PPD-B </w:t>
      </w:r>
      <w:r w:rsidR="00F2022F" w:rsidRPr="00882D2B">
        <w:rPr>
          <w:lang w:val="en-IE"/>
        </w:rPr>
        <w:t>and</w:t>
      </w:r>
      <w:r w:rsidRPr="00882D2B">
        <w:rPr>
          <w:lang w:val="en-IE"/>
        </w:rPr>
        <w:t xml:space="preserve"> that to PPD-A. The SIT typically exhibits greater sensitivity than the CCT, while the CCT provides greater specificity. The latter is often used to account for potential sensiti</w:t>
      </w:r>
      <w:r w:rsidR="00A1163E" w:rsidRPr="00882D2B">
        <w:rPr>
          <w:lang w:val="en-IE"/>
        </w:rPr>
        <w:t>s</w:t>
      </w:r>
      <w:r w:rsidRPr="00882D2B">
        <w:rPr>
          <w:lang w:val="en-IE"/>
        </w:rPr>
        <w:t>ation of animals to environmental mycobacteria or antigenically cross-reactive organisms other than the members of MTBC</w:t>
      </w:r>
      <w:r w:rsidRPr="00882D2B">
        <w:rPr>
          <w:color w:val="0D0D0D" w:themeColor="text1" w:themeTint="F2"/>
          <w:lang w:val="en-IE"/>
        </w:rPr>
        <w:t xml:space="preserve"> (Good </w:t>
      </w:r>
      <w:r w:rsidRPr="00882D2B">
        <w:rPr>
          <w:i/>
          <w:color w:val="0D0D0D" w:themeColor="text1" w:themeTint="F2"/>
          <w:lang w:val="en-IE"/>
        </w:rPr>
        <w:t>et al</w:t>
      </w:r>
      <w:r w:rsidRPr="00882D2B">
        <w:rPr>
          <w:color w:val="0D0D0D" w:themeColor="text1" w:themeTint="F2"/>
          <w:lang w:val="en-IE"/>
        </w:rPr>
        <w:t xml:space="preserve">., 2018). </w:t>
      </w:r>
    </w:p>
    <w:p w14:paraId="0CEF2A7B" w14:textId="4C3AFE91" w:rsidR="00854F27" w:rsidRPr="00882D2B" w:rsidRDefault="00854F27" w:rsidP="009431C4">
      <w:pPr>
        <w:pStyle w:val="11Para"/>
        <w:rPr>
          <w:b/>
          <w:bCs/>
          <w:lang w:val="en-IE"/>
        </w:rPr>
      </w:pPr>
      <w:r w:rsidRPr="00882D2B">
        <w:rPr>
          <w:lang w:val="en-IE"/>
        </w:rPr>
        <w:t>Recently developed defined antigen skin tests (DST) may overcome some of the limitations of SIT and CCT with improved sensitivity as compared with CCT and specificity as compared with SIT</w:t>
      </w:r>
      <w:r w:rsidR="00C41FDF" w:rsidRPr="00882D2B">
        <w:rPr>
          <w:lang w:val="en-IE"/>
        </w:rPr>
        <w:t>.</w:t>
      </w:r>
      <w:r w:rsidRPr="00882D2B">
        <w:rPr>
          <w:lang w:val="en-IE"/>
        </w:rPr>
        <w:t xml:space="preserve"> </w:t>
      </w:r>
      <w:r w:rsidR="002F4E7F" w:rsidRPr="00882D2B">
        <w:rPr>
          <w:lang w:val="en-IE"/>
        </w:rPr>
        <w:t>DST</w:t>
      </w:r>
      <w:r w:rsidRPr="00882D2B">
        <w:rPr>
          <w:lang w:val="en-IE"/>
        </w:rPr>
        <w:t xml:space="preserve"> may also be used to differentiate infected from BCG-vaccinated animals (</w:t>
      </w:r>
      <w:r w:rsidRPr="00882D2B">
        <w:rPr>
          <w:color w:val="0D0D0D" w:themeColor="text1" w:themeTint="F2"/>
          <w:lang w:val="en-IE"/>
        </w:rPr>
        <w:t xml:space="preserve">Srinivasan </w:t>
      </w:r>
      <w:r w:rsidRPr="00882D2B">
        <w:rPr>
          <w:i/>
          <w:iCs/>
          <w:color w:val="0D0D0D" w:themeColor="text1" w:themeTint="F2"/>
          <w:lang w:val="en-IE"/>
        </w:rPr>
        <w:t>et al.,</w:t>
      </w:r>
      <w:r w:rsidRPr="00882D2B">
        <w:rPr>
          <w:color w:val="0D0D0D" w:themeColor="text1" w:themeTint="F2"/>
          <w:lang w:val="en-IE"/>
        </w:rPr>
        <w:t xml:space="preserve"> 2019).</w:t>
      </w:r>
    </w:p>
    <w:p w14:paraId="4E3D74DE" w14:textId="5E9EE04E" w:rsidR="00854F27" w:rsidRPr="00882D2B" w:rsidRDefault="00854F27" w:rsidP="009431C4">
      <w:pPr>
        <w:pStyle w:val="11Para"/>
        <w:rPr>
          <w:b/>
          <w:bCs/>
          <w:lang w:val="en-IE"/>
        </w:rPr>
      </w:pPr>
      <w:r w:rsidRPr="00882D2B">
        <w:rPr>
          <w:lang w:val="en-IE"/>
        </w:rPr>
        <w:t xml:space="preserve">The SCT and CCT are performed in the mid-cervical region of bovine, ovine, caprine and cervid species, whereas the CFT is performed in the caudal fold of the tail (but </w:t>
      </w:r>
      <w:r w:rsidR="004B2E5F" w:rsidRPr="00882D2B">
        <w:rPr>
          <w:lang w:val="en-IE"/>
        </w:rPr>
        <w:t xml:space="preserve">is </w:t>
      </w:r>
      <w:r w:rsidRPr="00882D2B">
        <w:rPr>
          <w:lang w:val="en-IE"/>
        </w:rPr>
        <w:t>not</w:t>
      </w:r>
      <w:r w:rsidR="004B2E5F" w:rsidRPr="00882D2B">
        <w:rPr>
          <w:lang w:val="en-IE"/>
        </w:rPr>
        <w:t xml:space="preserve"> suitable for</w:t>
      </w:r>
      <w:r w:rsidRPr="00882D2B">
        <w:rPr>
          <w:lang w:val="en-IE"/>
        </w:rPr>
        <w:t xml:space="preserve"> cervids).</w:t>
      </w:r>
      <w:r w:rsidR="00140119" w:rsidRPr="00882D2B">
        <w:rPr>
          <w:b/>
          <w:bCs/>
          <w:lang w:val="en-IE"/>
        </w:rPr>
        <w:t xml:space="preserve"> </w:t>
      </w:r>
      <w:r w:rsidRPr="00882D2B">
        <w:rPr>
          <w:lang w:val="en-IE"/>
        </w:rPr>
        <w:t>The hypersensitivity</w:t>
      </w:r>
      <w:r w:rsidR="00F25DA0" w:rsidRPr="00882D2B">
        <w:rPr>
          <w:lang w:val="en-IE"/>
        </w:rPr>
        <w:t xml:space="preserve"> </w:t>
      </w:r>
      <w:r w:rsidR="00B13672" w:rsidRPr="00882D2B">
        <w:rPr>
          <w:lang w:val="en-IE"/>
        </w:rPr>
        <w:t>responses</w:t>
      </w:r>
      <w:r w:rsidRPr="00882D2B">
        <w:rPr>
          <w:lang w:val="en-IE"/>
        </w:rPr>
        <w:t xml:space="preserve"> to tuberculin observed in the cervical region are greater than in the caudal fold. However, both SCT and CFT have been successfully applied for the surveillance, control and </w:t>
      </w:r>
      <w:r w:rsidRPr="00882D2B">
        <w:rPr>
          <w:color w:val="0D0D0D" w:themeColor="text1" w:themeTint="F2"/>
          <w:lang w:val="en-IE"/>
        </w:rPr>
        <w:t>elimination of tuberculosis in</w:t>
      </w:r>
      <w:r w:rsidRPr="00882D2B">
        <w:rPr>
          <w:lang w:val="en-IE"/>
        </w:rPr>
        <w:t xml:space="preserve"> cattle in </w:t>
      </w:r>
      <w:r w:rsidR="00C81C18" w:rsidRPr="00882D2B">
        <w:rPr>
          <w:lang w:val="en-IE"/>
        </w:rPr>
        <w:t>a number of</w:t>
      </w:r>
      <w:r w:rsidRPr="00882D2B">
        <w:rPr>
          <w:lang w:val="en-IE"/>
        </w:rPr>
        <w:t xml:space="preserve"> countries.</w:t>
      </w:r>
    </w:p>
    <w:p w14:paraId="26B94DBB" w14:textId="78744E9E" w:rsidR="00854F27" w:rsidRPr="00882D2B" w:rsidRDefault="00854F27" w:rsidP="009431C4">
      <w:pPr>
        <w:pStyle w:val="11Para"/>
        <w:rPr>
          <w:b/>
          <w:bCs/>
          <w:lang w:val="en-IE"/>
        </w:rPr>
      </w:pPr>
      <w:r w:rsidRPr="00882D2B">
        <w:rPr>
          <w:lang w:val="en-IE"/>
        </w:rPr>
        <w:t xml:space="preserve">Tuberculin skin tests are not well-validated in species other than bovids and cervids. As a consequence, the approaches to application and interpretation of the SCT, CCT and CFT in bovines are often considered as the default in other species. </w:t>
      </w:r>
      <w:r w:rsidR="00CD6471" w:rsidRPr="00882D2B">
        <w:rPr>
          <w:lang w:val="en-IE"/>
        </w:rPr>
        <w:t>A</w:t>
      </w:r>
      <w:r w:rsidRPr="00882D2B">
        <w:rPr>
          <w:lang w:val="en-IE"/>
        </w:rPr>
        <w:t xml:space="preserve">lternate sites for antigen administration and interval for measurement of hypersensitivity responses may be indicated in some species. For example, </w:t>
      </w:r>
      <w:r w:rsidR="00DA4902" w:rsidRPr="00882D2B">
        <w:rPr>
          <w:lang w:val="en-IE"/>
        </w:rPr>
        <w:t xml:space="preserve">in swine, it is administered at the base of the ear, and the hypersensitivity reaction </w:t>
      </w:r>
      <w:r w:rsidR="00DA4902" w:rsidRPr="0004207C">
        <w:rPr>
          <w:strike/>
          <w:highlight w:val="yellow"/>
          <w:lang w:val="en-IE"/>
        </w:rPr>
        <w:t xml:space="preserve">measured </w:t>
      </w:r>
      <w:r w:rsidR="009C6326" w:rsidRPr="0004207C">
        <w:rPr>
          <w:highlight w:val="yellow"/>
          <w:u w:val="double"/>
          <w:lang w:val="en-IE"/>
        </w:rPr>
        <w:t>evaluated</w:t>
      </w:r>
      <w:r w:rsidR="009C6326" w:rsidRPr="00882D2B">
        <w:rPr>
          <w:lang w:val="en-IE"/>
        </w:rPr>
        <w:t xml:space="preserve"> </w:t>
      </w:r>
      <w:r w:rsidR="00DA4902" w:rsidRPr="00882D2B">
        <w:rPr>
          <w:lang w:val="en-IE"/>
        </w:rPr>
        <w:t>after 48</w:t>
      </w:r>
      <w:r w:rsidR="00F7786D">
        <w:rPr>
          <w:lang w:val="en-IE"/>
        </w:rPr>
        <w:t xml:space="preserve"> </w:t>
      </w:r>
      <w:r w:rsidR="0058119C" w:rsidRPr="0004207C">
        <w:rPr>
          <w:highlight w:val="yellow"/>
          <w:u w:val="double"/>
          <w:lang w:val="en-IE"/>
        </w:rPr>
        <w:t>or 72</w:t>
      </w:r>
      <w:r w:rsidR="00DA4902" w:rsidRPr="00882D2B">
        <w:rPr>
          <w:lang w:val="en-IE"/>
        </w:rPr>
        <w:t xml:space="preserve"> hours. For</w:t>
      </w:r>
      <w:r w:rsidRPr="00882D2B">
        <w:rPr>
          <w:lang w:val="en-IE"/>
        </w:rPr>
        <w:t xml:space="preserve"> non-human primates, </w:t>
      </w:r>
      <w:r w:rsidR="00FB4DA2" w:rsidRPr="00882D2B">
        <w:rPr>
          <w:lang w:val="en-IE"/>
        </w:rPr>
        <w:t>“old tuberculin”</w:t>
      </w:r>
      <w:r w:rsidRPr="00882D2B">
        <w:rPr>
          <w:lang w:val="en-IE"/>
        </w:rPr>
        <w:t xml:space="preserve"> is administered </w:t>
      </w:r>
      <w:proofErr w:type="spellStart"/>
      <w:r w:rsidRPr="00882D2B">
        <w:rPr>
          <w:lang w:val="en-IE"/>
        </w:rPr>
        <w:t>intrapalpebrally</w:t>
      </w:r>
      <w:proofErr w:type="spellEnd"/>
      <w:r w:rsidRPr="00882D2B">
        <w:rPr>
          <w:lang w:val="en-IE"/>
        </w:rPr>
        <w:t xml:space="preserve"> to the upper eyelid</w:t>
      </w:r>
      <w:r w:rsidR="00571BC8" w:rsidRPr="00882D2B">
        <w:rPr>
          <w:lang w:val="en-IE"/>
        </w:rPr>
        <w:t xml:space="preserve"> </w:t>
      </w:r>
      <w:r w:rsidR="00176924" w:rsidRPr="00882D2B">
        <w:rPr>
          <w:lang w:val="en-IE"/>
        </w:rPr>
        <w:t>(see</w:t>
      </w:r>
      <w:r w:rsidR="009654AB" w:rsidRPr="00882D2B">
        <w:rPr>
          <w:lang w:val="en-IE"/>
        </w:rPr>
        <w:t xml:space="preserve"> below, also</w:t>
      </w:r>
      <w:r w:rsidR="00176924" w:rsidRPr="00882D2B">
        <w:rPr>
          <w:lang w:val="en-IE"/>
        </w:rPr>
        <w:t xml:space="preserve"> </w:t>
      </w:r>
      <w:r w:rsidR="009431C4" w:rsidRPr="00882D2B">
        <w:rPr>
          <w:lang w:val="en-IE"/>
        </w:rPr>
        <w:t xml:space="preserve">Chapter </w:t>
      </w:r>
      <w:r w:rsidR="00176924" w:rsidRPr="00882D2B">
        <w:rPr>
          <w:lang w:val="en-IE"/>
        </w:rPr>
        <w:t>3.</w:t>
      </w:r>
      <w:r w:rsidR="009431C4" w:rsidRPr="00882D2B">
        <w:rPr>
          <w:lang w:val="en-IE"/>
        </w:rPr>
        <w:t>10</w:t>
      </w:r>
      <w:r w:rsidR="00176924" w:rsidRPr="00882D2B">
        <w:rPr>
          <w:lang w:val="en-IE"/>
        </w:rPr>
        <w:t>.1</w:t>
      </w:r>
      <w:r w:rsidR="009431C4" w:rsidRPr="00882D2B">
        <w:rPr>
          <w:lang w:val="en-IE"/>
        </w:rPr>
        <w:t>0</w:t>
      </w:r>
      <w:r w:rsidR="00A84308" w:rsidRPr="00882D2B">
        <w:rPr>
          <w:lang w:val="en-IE"/>
        </w:rPr>
        <w:t xml:space="preserve"> </w:t>
      </w:r>
      <w:r w:rsidR="00A84308" w:rsidRPr="00882D2B">
        <w:rPr>
          <w:i/>
          <w:iCs/>
          <w:lang w:val="en-IE"/>
        </w:rPr>
        <w:t>Diseases transmissible from non-human primates</w:t>
      </w:r>
      <w:r w:rsidR="00882D2B" w:rsidRPr="00882D2B">
        <w:rPr>
          <w:lang w:val="en-IE"/>
        </w:rPr>
        <w:t>).</w:t>
      </w:r>
      <w:r w:rsidRPr="00882D2B">
        <w:rPr>
          <w:lang w:val="en-IE"/>
        </w:rPr>
        <w:t xml:space="preserve"> </w:t>
      </w:r>
    </w:p>
    <w:p w14:paraId="7865F5EE" w14:textId="11C896B5" w:rsidR="00105E17" w:rsidRPr="00882D2B" w:rsidRDefault="00105E17" w:rsidP="009431C4">
      <w:pPr>
        <w:pStyle w:val="11Para"/>
        <w:rPr>
          <w:b/>
          <w:bCs/>
          <w:lang w:val="en-IE"/>
        </w:rPr>
      </w:pPr>
      <w:r w:rsidRPr="00882D2B">
        <w:rPr>
          <w:lang w:val="en-IE"/>
        </w:rPr>
        <w:t>While animals exposed to MTBC organisms exhibit hypersensitivity to tuberculin, a positive tuberculin skin test result is unable to distinguish actively infected animals from those that may have recovered from infection</w:t>
      </w:r>
      <w:r w:rsidR="00DA7FD9">
        <w:rPr>
          <w:lang w:val="en-IE"/>
        </w:rPr>
        <w:t>.</w:t>
      </w:r>
      <w:r w:rsidRPr="00882D2B">
        <w:rPr>
          <w:lang w:val="en-IE"/>
        </w:rPr>
        <w:t xml:space="preserve"> </w:t>
      </w:r>
      <w:r w:rsidR="00D01FC6">
        <w:rPr>
          <w:lang w:val="en-IE"/>
        </w:rPr>
        <w:t>The test</w:t>
      </w:r>
      <w:r w:rsidRPr="00882D2B">
        <w:rPr>
          <w:lang w:val="en-IE"/>
        </w:rPr>
        <w:t xml:space="preserve"> must</w:t>
      </w:r>
      <w:r w:rsidR="00D01FC6">
        <w:rPr>
          <w:lang w:val="en-IE"/>
        </w:rPr>
        <w:t xml:space="preserve"> therefore</w:t>
      </w:r>
      <w:r w:rsidRPr="00882D2B">
        <w:rPr>
          <w:lang w:val="en-IE"/>
        </w:rPr>
        <w:t xml:space="preserve"> be interpreted in context.</w:t>
      </w:r>
    </w:p>
    <w:p w14:paraId="2DE7B3AF" w14:textId="5A42B3C2" w:rsidR="00854F27" w:rsidRPr="00882D2B" w:rsidRDefault="00854F27" w:rsidP="009431C4">
      <w:pPr>
        <w:pStyle w:val="11Para"/>
        <w:rPr>
          <w:b/>
          <w:bCs/>
          <w:lang w:val="en-IE"/>
        </w:rPr>
      </w:pPr>
      <w:r w:rsidRPr="00882D2B">
        <w:rPr>
          <w:lang w:val="en-IE"/>
        </w:rPr>
        <w:t xml:space="preserve">Delayed hypersensitivity reactions may not develop for a period of 3–6 weeks following infection and recently infected or immunosuppressed individuals may present as false-negative. Hence, declaring a herd to be “free from tuberculosis infection” requires negative results from several sequential intradermal tests </w:t>
      </w:r>
      <w:r w:rsidR="0091244A" w:rsidRPr="00882D2B">
        <w:rPr>
          <w:lang w:val="en-IE"/>
        </w:rPr>
        <w:t xml:space="preserve">performed at </w:t>
      </w:r>
      <w:r w:rsidR="004C2225" w:rsidRPr="0004207C">
        <w:rPr>
          <w:highlight w:val="yellow"/>
          <w:u w:val="double"/>
          <w:lang w:val="en-IE"/>
        </w:rPr>
        <w:t>6</w:t>
      </w:r>
      <w:r w:rsidR="0004207C" w:rsidRPr="0004207C">
        <w:rPr>
          <w:highlight w:val="yellow"/>
          <w:u w:val="double"/>
          <w:lang w:val="en-IE"/>
        </w:rPr>
        <w:t>–</w:t>
      </w:r>
      <w:r w:rsidR="0091244A" w:rsidRPr="00882D2B">
        <w:rPr>
          <w:lang w:val="en-IE"/>
        </w:rPr>
        <w:t xml:space="preserve">8-week intervals </w:t>
      </w:r>
      <w:r w:rsidRPr="00882D2B">
        <w:rPr>
          <w:lang w:val="en-IE"/>
        </w:rPr>
        <w:t>of all animals in the herd. In certain instances, anergy or hypo-responsiveness to tuberculin may occur in chronically infected animals with severe pathology leading to false negative results. In addition, animals may become desensiti</w:t>
      </w:r>
      <w:r w:rsidR="008B2613" w:rsidRPr="00882D2B">
        <w:rPr>
          <w:lang w:val="en-IE"/>
        </w:rPr>
        <w:t>s</w:t>
      </w:r>
      <w:r w:rsidRPr="00882D2B">
        <w:rPr>
          <w:lang w:val="en-IE"/>
        </w:rPr>
        <w:t xml:space="preserve">ed due to repeated administration of tuberculin, in particular when applied at intervals of fewer than </w:t>
      </w:r>
      <w:r w:rsidRPr="0004207C">
        <w:rPr>
          <w:strike/>
          <w:highlight w:val="yellow"/>
          <w:lang w:val="en-IE"/>
        </w:rPr>
        <w:t xml:space="preserve">8 </w:t>
      </w:r>
      <w:r w:rsidR="004C2225" w:rsidRPr="0004207C">
        <w:rPr>
          <w:highlight w:val="yellow"/>
          <w:u w:val="double"/>
          <w:lang w:val="en-IE"/>
        </w:rPr>
        <w:t>6</w:t>
      </w:r>
      <w:r w:rsidR="004C2225" w:rsidRPr="00882D2B">
        <w:rPr>
          <w:lang w:val="en-IE"/>
        </w:rPr>
        <w:t xml:space="preserve"> </w:t>
      </w:r>
      <w:r w:rsidRPr="00882D2B">
        <w:rPr>
          <w:lang w:val="en-IE"/>
        </w:rPr>
        <w:t xml:space="preserve">weeks, and true </w:t>
      </w:r>
      <w:r w:rsidR="009F4BEB">
        <w:rPr>
          <w:lang w:val="en-IE"/>
        </w:rPr>
        <w:t>positives</w:t>
      </w:r>
      <w:r w:rsidRPr="00882D2B">
        <w:rPr>
          <w:lang w:val="en-IE"/>
        </w:rPr>
        <w:t xml:space="preserve"> may be missed. In such suspected false negative cases, serological or defined antigen cell-mediated immune response assays may be used as alternate or confirmatory assays. </w:t>
      </w:r>
    </w:p>
    <w:p w14:paraId="5477DA8C" w14:textId="3AB6DBDA" w:rsidR="00C04881" w:rsidRPr="00FA476A" w:rsidRDefault="00854F27" w:rsidP="00713F1A">
      <w:pPr>
        <w:pStyle w:val="11Para"/>
        <w:rPr>
          <w:b/>
          <w:bCs/>
        </w:rPr>
      </w:pPr>
      <w:r w:rsidRPr="00882D2B">
        <w:rPr>
          <w:lang w:val="en-IE"/>
        </w:rPr>
        <w:t xml:space="preserve">The decision to use the SCT, CFT and CCT is dependent on the local regulations and the overall context and goals for performing the test. The CCT with higher specificity is typically applied for surveillance purposes or </w:t>
      </w:r>
      <w:r w:rsidR="00C04881">
        <w:rPr>
          <w:lang w:val="en-IE"/>
        </w:rPr>
        <w:t>at the start of a</w:t>
      </w:r>
      <w:r w:rsidRPr="00882D2B">
        <w:rPr>
          <w:lang w:val="en-IE"/>
        </w:rPr>
        <w:t xml:space="preserve"> control program</w:t>
      </w:r>
      <w:r w:rsidR="00E9384E" w:rsidRPr="00882D2B">
        <w:rPr>
          <w:lang w:val="en-IE"/>
        </w:rPr>
        <w:t>me</w:t>
      </w:r>
      <w:r w:rsidRPr="00882D2B">
        <w:rPr>
          <w:lang w:val="en-IE"/>
        </w:rPr>
        <w:t xml:space="preserve"> in</w:t>
      </w:r>
      <w:r w:rsidR="00C04881">
        <w:rPr>
          <w:lang w:val="en-IE"/>
        </w:rPr>
        <w:t xml:space="preserve"> an</w:t>
      </w:r>
      <w:r w:rsidRPr="00882D2B">
        <w:rPr>
          <w:lang w:val="en-IE"/>
        </w:rPr>
        <w:t xml:space="preserve"> endemic country</w:t>
      </w:r>
      <w:r w:rsidR="00C04881">
        <w:rPr>
          <w:lang w:val="en-IE"/>
        </w:rPr>
        <w:t>.</w:t>
      </w:r>
      <w:r w:rsidR="00223040">
        <w:rPr>
          <w:lang w:val="en-IE"/>
        </w:rPr>
        <w:t xml:space="preserve"> Once the presence of the disease is confirmed</w:t>
      </w:r>
      <w:r w:rsidR="00713F1A">
        <w:rPr>
          <w:lang w:val="en-IE"/>
        </w:rPr>
        <w:t xml:space="preserve"> a higher sensitivity approach may be preferred to avoid missing infected animals.</w:t>
      </w:r>
      <w:r w:rsidR="007F74FA">
        <w:rPr>
          <w:lang w:val="en-IE"/>
        </w:rPr>
        <w:t xml:space="preserve"> </w:t>
      </w:r>
      <w:r w:rsidR="00713F1A">
        <w:rPr>
          <w:lang w:val="en-IE"/>
        </w:rPr>
        <w:t>CCT</w:t>
      </w:r>
      <w:r w:rsidR="00C04881">
        <w:rPr>
          <w:lang w:val="en-IE"/>
        </w:rPr>
        <w:t xml:space="preserve"> is also useful</w:t>
      </w:r>
      <w:r w:rsidRPr="00882D2B">
        <w:rPr>
          <w:lang w:val="en-IE"/>
        </w:rPr>
        <w:t xml:space="preserve"> in regions with high environmental </w:t>
      </w:r>
      <w:r w:rsidRPr="00882D2B">
        <w:rPr>
          <w:i/>
          <w:iCs/>
          <w:lang w:val="en-IE"/>
        </w:rPr>
        <w:t>Mycobacterium</w:t>
      </w:r>
      <w:r w:rsidRPr="00882D2B">
        <w:rPr>
          <w:lang w:val="en-IE"/>
        </w:rPr>
        <w:t xml:space="preserve"> exposure. In contrast, SCT or CFT with higher sensitivity are frequently applied to confirm freedom from infection in low burden settings. </w:t>
      </w:r>
    </w:p>
    <w:p w14:paraId="6B7B2E74" w14:textId="4ADFE725" w:rsidR="00854F27" w:rsidRPr="00882D2B" w:rsidRDefault="00854F27" w:rsidP="009431C4">
      <w:pPr>
        <w:pStyle w:val="11"/>
        <w:rPr>
          <w:lang w:val="en-IE"/>
        </w:rPr>
      </w:pPr>
      <w:r w:rsidRPr="00882D2B">
        <w:rPr>
          <w:lang w:val="en-IE"/>
        </w:rPr>
        <w:t>2.2</w:t>
      </w:r>
      <w:r w:rsidR="00140119" w:rsidRPr="00882D2B">
        <w:rPr>
          <w:lang w:val="en-IE"/>
        </w:rPr>
        <w:t>.</w:t>
      </w:r>
      <w:r w:rsidR="00140119" w:rsidRPr="00882D2B">
        <w:rPr>
          <w:lang w:val="en-IE"/>
        </w:rPr>
        <w:tab/>
      </w:r>
      <w:r w:rsidRPr="00882D2B">
        <w:rPr>
          <w:lang w:val="en-IE"/>
        </w:rPr>
        <w:t>Test procedure</w:t>
      </w:r>
    </w:p>
    <w:p w14:paraId="386D38F4" w14:textId="77777777" w:rsidR="0009441C" w:rsidRPr="00882D2B" w:rsidRDefault="00854F27" w:rsidP="009431C4">
      <w:pPr>
        <w:pStyle w:val="111"/>
        <w:rPr>
          <w:lang w:val="en-IE"/>
        </w:rPr>
      </w:pPr>
      <w:r w:rsidRPr="00882D2B">
        <w:rPr>
          <w:lang w:val="en-IE"/>
        </w:rPr>
        <w:t>2.2.1.</w:t>
      </w:r>
      <w:r w:rsidRPr="00882D2B">
        <w:rPr>
          <w:lang w:val="en-IE"/>
        </w:rPr>
        <w:tab/>
        <w:t>Intradermal administration of PPDs</w:t>
      </w:r>
    </w:p>
    <w:p w14:paraId="223ECAAE" w14:textId="4C32905B" w:rsidR="00854F27" w:rsidRPr="00882D2B" w:rsidRDefault="00854F27" w:rsidP="009431C4">
      <w:pPr>
        <w:pStyle w:val="111Para"/>
        <w:rPr>
          <w:b/>
          <w:lang w:val="en-IE"/>
        </w:rPr>
      </w:pPr>
      <w:r w:rsidRPr="00882D2B">
        <w:rPr>
          <w:lang w:val="en-IE"/>
        </w:rPr>
        <w:t xml:space="preserve">Personnel conducting the test should be specifically trained and certified for testing of animals. Prior to antigen administration, the injection sites must be clipped and cleaned. While performing the mid-cervical test, the thickness of the skin fold at the intended injection site should be measured with callipers, and the site suitably marked. All measurements of skin thickness should be recorded in whole millimetres as measurements in fractions of millimetres </w:t>
      </w:r>
      <w:r w:rsidR="001B4EBA" w:rsidRPr="00882D2B">
        <w:rPr>
          <w:lang w:val="en-IE"/>
        </w:rPr>
        <w:t>may</w:t>
      </w:r>
      <w:r w:rsidR="00D822ED" w:rsidRPr="00882D2B">
        <w:rPr>
          <w:lang w:val="en-IE"/>
        </w:rPr>
        <w:t xml:space="preserve"> </w:t>
      </w:r>
      <w:r w:rsidRPr="00882D2B">
        <w:rPr>
          <w:lang w:val="en-IE"/>
        </w:rPr>
        <w:t>provide a false sense of precision. The same individual should measure the skin fold thickness before the injection and after the specified time interval using the same callipers to avoid additional introduction of operator or equipment</w:t>
      </w:r>
      <w:r w:rsidR="00D822ED" w:rsidRPr="00882D2B">
        <w:rPr>
          <w:lang w:val="en-IE"/>
        </w:rPr>
        <w:t>-</w:t>
      </w:r>
      <w:r w:rsidRPr="00882D2B">
        <w:rPr>
          <w:lang w:val="en-IE"/>
        </w:rPr>
        <w:t xml:space="preserve">related variation. </w:t>
      </w:r>
    </w:p>
    <w:p w14:paraId="64CCC15A" w14:textId="06A15A40" w:rsidR="00854F27" w:rsidRPr="00882D2B" w:rsidRDefault="00854F27" w:rsidP="009431C4">
      <w:pPr>
        <w:pStyle w:val="111Para"/>
        <w:rPr>
          <w:b/>
          <w:lang w:val="en-IE"/>
        </w:rPr>
      </w:pPr>
      <w:r w:rsidRPr="00882D2B">
        <w:rPr>
          <w:lang w:val="en-IE"/>
        </w:rPr>
        <w:t>A short needle, bevel edge outwards and graduated syringe charged with antigen is then inserted obliquely into the deeper layers of the skin to assure the delivery of specific volume of tuberculin. Preferably this should be performed using a calibrated and well-maintained multi-dose syringe or multiple injection gun. Because of the thin and sensitive skin of cervids, sheep, goats, and other species, a narrow gauge needle (</w:t>
      </w:r>
      <w:r w:rsidR="00601BB0" w:rsidRPr="00882D2B">
        <w:rPr>
          <w:lang w:val="en-IE"/>
        </w:rPr>
        <w:t>e.g.</w:t>
      </w:r>
      <w:r w:rsidRPr="00882D2B">
        <w:rPr>
          <w:lang w:val="en-IE"/>
        </w:rPr>
        <w:t xml:space="preserve"> 25G), may be preferred in some </w:t>
      </w:r>
      <w:r w:rsidR="002D2A5F" w:rsidRPr="00882D2B">
        <w:rPr>
          <w:lang w:val="en-IE"/>
        </w:rPr>
        <w:t>cases</w:t>
      </w:r>
      <w:r w:rsidRPr="00882D2B">
        <w:rPr>
          <w:lang w:val="en-IE"/>
        </w:rPr>
        <w:t xml:space="preserve">. The potency of both PPD-B and PPD-A antigens should be estimated by biological methods comparing with reference standard PPDs. </w:t>
      </w:r>
      <w:r w:rsidR="00225B3F" w:rsidRPr="00882D2B">
        <w:rPr>
          <w:lang w:val="en-IE"/>
        </w:rPr>
        <w:t xml:space="preserve">A minimum </w:t>
      </w:r>
      <w:r w:rsidRPr="00882D2B">
        <w:rPr>
          <w:lang w:val="en-IE"/>
        </w:rPr>
        <w:t>2,000 International Units (IU)</w:t>
      </w:r>
      <w:r w:rsidR="00225B3F" w:rsidRPr="00882D2B">
        <w:rPr>
          <w:lang w:val="en-IE"/>
        </w:rPr>
        <w:t xml:space="preserve"> of PPD should be administered in a</w:t>
      </w:r>
      <w:r w:rsidRPr="00882D2B">
        <w:rPr>
          <w:lang w:val="en-IE"/>
        </w:rPr>
        <w:t xml:space="preserve"> volume not exceed</w:t>
      </w:r>
      <w:r w:rsidR="00225B3F" w:rsidRPr="00882D2B">
        <w:rPr>
          <w:lang w:val="en-IE"/>
        </w:rPr>
        <w:t>ing</w:t>
      </w:r>
      <w:r w:rsidRPr="00882D2B">
        <w:rPr>
          <w:lang w:val="en-IE"/>
        </w:rPr>
        <w:t xml:space="preserve"> 0.2 ml. A correct injection is confirmed by </w:t>
      </w:r>
      <w:r w:rsidRPr="002D2A5F">
        <w:rPr>
          <w:lang w:val="en-IE"/>
        </w:rPr>
        <w:t>visual</w:t>
      </w:r>
      <w:r w:rsidR="00861AC4" w:rsidRPr="002D2A5F">
        <w:rPr>
          <w:lang w:val="en-IE"/>
        </w:rPr>
        <w:t>is</w:t>
      </w:r>
      <w:r w:rsidRPr="002D2A5F">
        <w:rPr>
          <w:lang w:val="en-IE"/>
        </w:rPr>
        <w:t>ing</w:t>
      </w:r>
      <w:r w:rsidRPr="00882D2B">
        <w:rPr>
          <w:lang w:val="en-IE"/>
        </w:rPr>
        <w:t xml:space="preserve"> and palpating a small pea-like swelling at the site of injection.</w:t>
      </w:r>
    </w:p>
    <w:p w14:paraId="0C18B941" w14:textId="77777777" w:rsidR="00854F27" w:rsidRPr="00882D2B" w:rsidRDefault="00854F27" w:rsidP="009431C4">
      <w:pPr>
        <w:pStyle w:val="111Para"/>
        <w:rPr>
          <w:b/>
          <w:lang w:val="en-IE"/>
        </w:rPr>
      </w:pPr>
      <w:r w:rsidRPr="00882D2B">
        <w:rPr>
          <w:lang w:val="en-IE"/>
        </w:rPr>
        <w:t>In case of the CCT, the distance between the two injection sites should be approximately 15 cm: to prevent errors, routinely PPD-A is injected in the top site and PPD-B in the lower site. In young animals or smaller breeds with insufficient space to prepare the two injection sites on the same side of the neck, one injection may be performed at identical locations in the centre of the middle third of both sides of the neck.</w:t>
      </w:r>
    </w:p>
    <w:p w14:paraId="39325576" w14:textId="77777777" w:rsidR="00854F27" w:rsidRPr="00882D2B" w:rsidRDefault="00854F27" w:rsidP="009431C4">
      <w:pPr>
        <w:pStyle w:val="111Para"/>
        <w:rPr>
          <w:b/>
          <w:lang w:val="en-IE"/>
        </w:rPr>
      </w:pPr>
      <w:r w:rsidRPr="00882D2B">
        <w:rPr>
          <w:lang w:val="en-IE"/>
        </w:rPr>
        <w:t xml:space="preserve">In the CFT, a short needle, bevel edge outwards, is inserted obliquely into the deeper layers of the skin on the lateral aspect of the caudal fold, midway along the fold and between the hairline and the ventral aspect of the fold. </w:t>
      </w:r>
      <w:r w:rsidRPr="00882D2B">
        <w:rPr>
          <w:lang w:val="en-IE" w:eastAsia="nl-NL"/>
        </w:rPr>
        <w:t>The injection site should be visually inspected closely and palpated carefully to detect changes from the normal.</w:t>
      </w:r>
    </w:p>
    <w:p w14:paraId="30E3FA98" w14:textId="39C2FE4D" w:rsidR="00854F27" w:rsidRPr="00882D2B" w:rsidRDefault="00854F27" w:rsidP="009431C4">
      <w:pPr>
        <w:pStyle w:val="111Para"/>
        <w:rPr>
          <w:b/>
          <w:lang w:val="en-IE"/>
        </w:rPr>
      </w:pPr>
      <w:r w:rsidRPr="00882D2B">
        <w:rPr>
          <w:lang w:val="en-IE"/>
        </w:rPr>
        <w:t xml:space="preserve">The increase in skin-fold thickness at each injection site is then measured after 72 (± 4) hours interval or as prescribed depending on the species. </w:t>
      </w:r>
    </w:p>
    <w:p w14:paraId="7129929B" w14:textId="77777777" w:rsidR="009431C4" w:rsidRPr="00882D2B" w:rsidRDefault="00854F27" w:rsidP="009431C4">
      <w:pPr>
        <w:pStyle w:val="111"/>
      </w:pPr>
      <w:r w:rsidRPr="00882D2B">
        <w:t>2.2.2.</w:t>
      </w:r>
      <w:r w:rsidRPr="00882D2B">
        <w:tab/>
        <w:t xml:space="preserve">Interpretation of the test results in </w:t>
      </w:r>
      <w:r w:rsidR="00AF771F" w:rsidRPr="00882D2B">
        <w:t>cattle</w:t>
      </w:r>
    </w:p>
    <w:p w14:paraId="2CEBEB00" w14:textId="528EE1C4" w:rsidR="00854F27" w:rsidRPr="00882D2B" w:rsidRDefault="00854F27" w:rsidP="009431C4">
      <w:pPr>
        <w:pStyle w:val="111Para"/>
        <w:rPr>
          <w:b/>
          <w:lang w:val="en-IE"/>
        </w:rPr>
      </w:pPr>
      <w:r w:rsidRPr="00882D2B">
        <w:rPr>
          <w:lang w:val="en-IE"/>
        </w:rPr>
        <w:t>The interpretation of the skin test results is based on observation of clinical signs at the injection site and the recorded increase in skin thickness response following administration of antigen.</w:t>
      </w:r>
      <w:r w:rsidR="00140119" w:rsidRPr="00882D2B">
        <w:rPr>
          <w:b/>
          <w:lang w:val="en-IE"/>
        </w:rPr>
        <w:t xml:space="preserve"> </w:t>
      </w:r>
      <w:r w:rsidRPr="00882D2B">
        <w:rPr>
          <w:lang w:val="en-IE"/>
        </w:rPr>
        <w:t xml:space="preserve">Animals are considered as reactors when the increase in skin fold thickness exceeds a pre-specified threshold. </w:t>
      </w:r>
      <w:r w:rsidR="00CD6CA9">
        <w:rPr>
          <w:lang w:val="en-IE"/>
        </w:rPr>
        <w:t xml:space="preserve">The following guidelines may vary </w:t>
      </w:r>
      <w:r w:rsidR="00CD6CA9" w:rsidRPr="00882D2B">
        <w:rPr>
          <w:lang w:val="en-IE"/>
        </w:rPr>
        <w:t>depending on the local context, and prevailing regulation</w:t>
      </w:r>
      <w:r w:rsidR="0091244A">
        <w:rPr>
          <w:lang w:val="en-IE"/>
        </w:rPr>
        <w:t>.</w:t>
      </w:r>
      <w:r w:rsidR="00CD6CA9" w:rsidRPr="00882D2B">
        <w:rPr>
          <w:lang w:val="en-IE"/>
        </w:rPr>
        <w:t xml:space="preserve"> </w:t>
      </w:r>
      <w:r w:rsidRPr="00882D2B">
        <w:rPr>
          <w:lang w:val="en-IE"/>
        </w:rPr>
        <w:t>More stringent interpretations of test results, for example considering any palpable reaction as positive are permitted, and often recommended, e.g. in the CFT, to accelerate the local or national control programmes.</w:t>
      </w:r>
    </w:p>
    <w:p w14:paraId="0F6A2AE9" w14:textId="3AA08EB7" w:rsidR="00A15466" w:rsidRPr="00882D2B" w:rsidRDefault="00854F27" w:rsidP="009431C4">
      <w:pPr>
        <w:pStyle w:val="afourthlevel"/>
        <w:rPr>
          <w:lang w:val="en-IE"/>
        </w:rPr>
      </w:pPr>
      <w:r w:rsidRPr="00882D2B">
        <w:rPr>
          <w:rFonts w:eastAsiaTheme="minorHAnsi"/>
          <w:lang w:val="en-IE"/>
        </w:rPr>
        <w:t>2.2.2.1. The single cervical test (</w:t>
      </w:r>
      <w:r w:rsidR="002D2A5F" w:rsidRPr="00882D2B">
        <w:rPr>
          <w:rFonts w:eastAsiaTheme="minorHAnsi"/>
          <w:lang w:val="en-IE"/>
        </w:rPr>
        <w:t>SCT</w:t>
      </w:r>
      <w:r w:rsidRPr="00882D2B">
        <w:rPr>
          <w:rFonts w:eastAsiaTheme="minorHAnsi"/>
          <w:lang w:val="en-IE"/>
        </w:rPr>
        <w:t>)</w:t>
      </w:r>
    </w:p>
    <w:p w14:paraId="772B1323" w14:textId="1EDB8EF9" w:rsidR="002D2A5F" w:rsidRPr="00882D2B" w:rsidRDefault="002D2A5F" w:rsidP="002D2A5F">
      <w:pPr>
        <w:pStyle w:val="afourthpara"/>
        <w:rPr>
          <w:rFonts w:eastAsiaTheme="minorHAnsi"/>
          <w:lang w:val="en-IE"/>
        </w:rPr>
      </w:pPr>
      <w:r w:rsidRPr="00882D2B">
        <w:rPr>
          <w:rFonts w:eastAsiaTheme="minorHAnsi"/>
          <w:lang w:val="en-IE"/>
        </w:rPr>
        <w:t xml:space="preserve">The single cervical test requires a single injection of PPD-B and the reaction is commonly considered to be negative if only limited swelling is observed, with an increase </w:t>
      </w:r>
      <w:r w:rsidR="00FA3C86">
        <w:rPr>
          <w:rFonts w:eastAsiaTheme="minorHAnsi"/>
          <w:lang w:val="en-IE"/>
        </w:rPr>
        <w:t xml:space="preserve">of </w:t>
      </w:r>
      <w:r w:rsidRPr="00882D2B">
        <w:rPr>
          <w:rFonts w:eastAsiaTheme="minorHAnsi"/>
          <w:lang w:val="en-IE"/>
        </w:rPr>
        <w:t>2 mm</w:t>
      </w:r>
      <w:r w:rsidR="00FA3C86">
        <w:rPr>
          <w:rFonts w:eastAsiaTheme="minorHAnsi"/>
          <w:lang w:val="en-IE"/>
        </w:rPr>
        <w:t xml:space="preserve"> or less</w:t>
      </w:r>
      <w:r w:rsidRPr="00882D2B">
        <w:rPr>
          <w:rFonts w:eastAsiaTheme="minorHAnsi"/>
          <w:lang w:val="en-IE"/>
        </w:rPr>
        <w:t xml:space="preserve">. The reaction is considered inconclusive if the increase in skin-fold thickness is </w:t>
      </w:r>
      <w:r w:rsidR="00381B3E">
        <w:rPr>
          <w:rFonts w:eastAsiaTheme="minorHAnsi"/>
          <w:lang w:val="en-IE"/>
        </w:rPr>
        <w:t>between</w:t>
      </w:r>
      <w:r w:rsidRPr="00882D2B">
        <w:rPr>
          <w:rFonts w:eastAsiaTheme="minorHAnsi"/>
          <w:lang w:val="en-IE"/>
        </w:rPr>
        <w:t xml:space="preserve"> 2 mm and 4 mm and considered positive if there is an increase of 4 mm </w:t>
      </w:r>
      <w:r w:rsidR="00913C31">
        <w:rPr>
          <w:rFonts w:eastAsiaTheme="minorHAnsi"/>
          <w:lang w:val="en-IE"/>
        </w:rPr>
        <w:t>or more</w:t>
      </w:r>
      <w:r w:rsidRPr="00882D2B">
        <w:rPr>
          <w:rFonts w:eastAsiaTheme="minorHAnsi"/>
          <w:lang w:val="en-IE"/>
        </w:rPr>
        <w:t xml:space="preserve">. </w:t>
      </w:r>
    </w:p>
    <w:tbl>
      <w:tblPr>
        <w:tblStyle w:val="TableGrid"/>
        <w:tblW w:w="0" w:type="auto"/>
        <w:jc w:val="center"/>
        <w:tblLook w:val="04A0" w:firstRow="1" w:lastRow="0" w:firstColumn="1" w:lastColumn="0" w:noHBand="0" w:noVBand="1"/>
      </w:tblPr>
      <w:tblGrid>
        <w:gridCol w:w="1293"/>
        <w:gridCol w:w="2408"/>
      </w:tblGrid>
      <w:tr w:rsidR="00854F27" w:rsidRPr="00882D2B" w14:paraId="6DCD0F77" w14:textId="77777777" w:rsidTr="009431C4">
        <w:trPr>
          <w:jc w:val="center"/>
        </w:trPr>
        <w:tc>
          <w:tcPr>
            <w:tcW w:w="0" w:type="auto"/>
          </w:tcPr>
          <w:p w14:paraId="1A3C0AA6" w14:textId="77777777" w:rsidR="00854F27" w:rsidRPr="00882D2B" w:rsidRDefault="00854F27" w:rsidP="009431C4">
            <w:pPr>
              <w:pStyle w:val="111"/>
              <w:spacing w:before="60" w:after="60"/>
              <w:ind w:left="0" w:firstLine="0"/>
              <w:jc w:val="center"/>
              <w:rPr>
                <w:rFonts w:ascii="Arial" w:hAnsi="Arial"/>
                <w:color w:val="000000" w:themeColor="text1"/>
                <w:sz w:val="16"/>
                <w:szCs w:val="16"/>
                <w:lang w:val="en-IE"/>
              </w:rPr>
            </w:pPr>
            <w:r w:rsidRPr="00882D2B">
              <w:rPr>
                <w:rFonts w:ascii="Arial" w:hAnsi="Arial"/>
                <w:color w:val="000000" w:themeColor="text1"/>
                <w:sz w:val="16"/>
                <w:szCs w:val="16"/>
                <w:lang w:val="en-IE"/>
              </w:rPr>
              <w:t>ΔB</w:t>
            </w:r>
          </w:p>
        </w:tc>
        <w:tc>
          <w:tcPr>
            <w:tcW w:w="2408" w:type="dxa"/>
          </w:tcPr>
          <w:p w14:paraId="0C713363" w14:textId="77777777" w:rsidR="00854F27" w:rsidRPr="00882D2B" w:rsidRDefault="00854F27" w:rsidP="009431C4">
            <w:pPr>
              <w:pStyle w:val="111"/>
              <w:spacing w:before="60" w:after="60"/>
              <w:ind w:left="0" w:firstLine="0"/>
              <w:jc w:val="center"/>
              <w:rPr>
                <w:rFonts w:ascii="Arial" w:hAnsi="Arial"/>
                <w:color w:val="000000" w:themeColor="text1"/>
                <w:sz w:val="16"/>
                <w:szCs w:val="16"/>
                <w:lang w:val="en-IE"/>
              </w:rPr>
            </w:pPr>
            <w:r w:rsidRPr="00882D2B">
              <w:rPr>
                <w:rFonts w:ascii="Arial" w:hAnsi="Arial"/>
                <w:color w:val="000000" w:themeColor="text1"/>
                <w:sz w:val="16"/>
                <w:szCs w:val="16"/>
                <w:lang w:val="en-IE"/>
              </w:rPr>
              <w:t>Interpretation of result</w:t>
            </w:r>
          </w:p>
        </w:tc>
      </w:tr>
      <w:tr w:rsidR="00854F27" w:rsidRPr="00882D2B" w14:paraId="5E4CA31E" w14:textId="77777777" w:rsidTr="009431C4">
        <w:trPr>
          <w:jc w:val="center"/>
        </w:trPr>
        <w:tc>
          <w:tcPr>
            <w:tcW w:w="0" w:type="auto"/>
          </w:tcPr>
          <w:p w14:paraId="6ED73267" w14:textId="630392B3" w:rsidR="00854F27" w:rsidRPr="00882D2B" w:rsidRDefault="002B2E2A" w:rsidP="009431C4">
            <w:pPr>
              <w:pStyle w:val="111"/>
              <w:spacing w:before="60" w:after="60"/>
              <w:ind w:left="0" w:firstLine="0"/>
              <w:jc w:val="center"/>
              <w:rPr>
                <w:rFonts w:ascii="Arial" w:hAnsi="Arial"/>
                <w:b w:val="0"/>
                <w:color w:val="000000" w:themeColor="text1"/>
                <w:sz w:val="16"/>
                <w:szCs w:val="16"/>
                <w:lang w:val="en-IE"/>
              </w:rPr>
            </w:pPr>
            <w:r>
              <w:rPr>
                <w:rFonts w:ascii="Arial" w:hAnsi="Arial" w:cs="Arial"/>
                <w:b w:val="0"/>
                <w:color w:val="000000" w:themeColor="text1"/>
                <w:sz w:val="16"/>
                <w:szCs w:val="16"/>
                <w:lang w:val="en-IE"/>
              </w:rPr>
              <w:t>≤</w:t>
            </w:r>
            <w:r w:rsidR="00854F27" w:rsidRPr="00882D2B">
              <w:rPr>
                <w:rFonts w:ascii="Arial" w:hAnsi="Arial"/>
                <w:b w:val="0"/>
                <w:color w:val="000000" w:themeColor="text1"/>
                <w:sz w:val="16"/>
                <w:szCs w:val="16"/>
                <w:lang w:val="en-IE"/>
              </w:rPr>
              <w:t xml:space="preserve"> 2</w:t>
            </w:r>
            <w:r w:rsidR="006C55CE" w:rsidRPr="00882D2B">
              <w:rPr>
                <w:rFonts w:ascii="Arial" w:hAnsi="Arial"/>
                <w:b w:val="0"/>
                <w:color w:val="000000" w:themeColor="text1"/>
                <w:sz w:val="16"/>
                <w:szCs w:val="16"/>
                <w:lang w:val="en-IE"/>
              </w:rPr>
              <w:t>mm</w:t>
            </w:r>
          </w:p>
        </w:tc>
        <w:tc>
          <w:tcPr>
            <w:tcW w:w="2408" w:type="dxa"/>
          </w:tcPr>
          <w:p w14:paraId="50B58218" w14:textId="7E28B9C0" w:rsidR="00854F27" w:rsidRPr="00882D2B" w:rsidRDefault="00854F27" w:rsidP="009431C4">
            <w:pPr>
              <w:pStyle w:val="111"/>
              <w:spacing w:before="60" w:after="60"/>
              <w:ind w:left="0" w:firstLine="0"/>
              <w:jc w:val="center"/>
              <w:rPr>
                <w:rFonts w:ascii="Arial" w:hAnsi="Arial"/>
                <w:b w:val="0"/>
                <w:color w:val="000000" w:themeColor="text1"/>
                <w:sz w:val="16"/>
                <w:szCs w:val="16"/>
                <w:lang w:val="en-IE"/>
              </w:rPr>
            </w:pPr>
            <w:r w:rsidRPr="00882D2B">
              <w:rPr>
                <w:rFonts w:ascii="Arial" w:hAnsi="Arial"/>
                <w:b w:val="0"/>
                <w:color w:val="000000" w:themeColor="text1"/>
                <w:sz w:val="16"/>
                <w:szCs w:val="16"/>
                <w:lang w:val="en-IE"/>
              </w:rPr>
              <w:t>Negative</w:t>
            </w:r>
          </w:p>
        </w:tc>
      </w:tr>
      <w:tr w:rsidR="00854F27" w:rsidRPr="00882D2B" w14:paraId="62C9D8D8" w14:textId="77777777" w:rsidTr="009431C4">
        <w:trPr>
          <w:jc w:val="center"/>
        </w:trPr>
        <w:tc>
          <w:tcPr>
            <w:tcW w:w="0" w:type="auto"/>
          </w:tcPr>
          <w:p w14:paraId="3D1A8BEB" w14:textId="0D48AA4E" w:rsidR="00854F27" w:rsidRPr="00882D2B" w:rsidRDefault="002B2E2A" w:rsidP="009431C4">
            <w:pPr>
              <w:pStyle w:val="111"/>
              <w:spacing w:before="60" w:after="60"/>
              <w:ind w:left="0" w:firstLine="0"/>
              <w:jc w:val="center"/>
              <w:rPr>
                <w:rFonts w:ascii="Arial" w:hAnsi="Arial"/>
                <w:b w:val="0"/>
                <w:color w:val="000000" w:themeColor="text1"/>
                <w:sz w:val="16"/>
                <w:szCs w:val="16"/>
                <w:lang w:val="en-IE"/>
              </w:rPr>
            </w:pPr>
            <w:r>
              <w:rPr>
                <w:rFonts w:ascii="Arial" w:hAnsi="Arial"/>
                <w:b w:val="0"/>
                <w:color w:val="000000" w:themeColor="text1"/>
                <w:sz w:val="16"/>
                <w:szCs w:val="16"/>
                <w:lang w:val="en-IE"/>
              </w:rPr>
              <w:t>&gt;</w:t>
            </w:r>
            <w:r w:rsidR="00854F27" w:rsidRPr="00882D2B">
              <w:rPr>
                <w:rFonts w:ascii="Arial" w:hAnsi="Arial"/>
                <w:b w:val="0"/>
                <w:color w:val="000000" w:themeColor="text1"/>
                <w:sz w:val="16"/>
                <w:szCs w:val="16"/>
                <w:lang w:val="en-IE"/>
              </w:rPr>
              <w:t xml:space="preserve"> 2 and </w:t>
            </w:r>
            <w:r>
              <w:rPr>
                <w:rFonts w:ascii="Arial" w:hAnsi="Arial"/>
                <w:b w:val="0"/>
                <w:color w:val="000000" w:themeColor="text1"/>
                <w:sz w:val="16"/>
                <w:szCs w:val="16"/>
                <w:lang w:val="en-IE"/>
              </w:rPr>
              <w:t>&lt;</w:t>
            </w:r>
            <w:r w:rsidR="00854F27" w:rsidRPr="00882D2B">
              <w:rPr>
                <w:rFonts w:ascii="Arial" w:hAnsi="Arial"/>
                <w:b w:val="0"/>
                <w:color w:val="000000" w:themeColor="text1"/>
                <w:sz w:val="16"/>
                <w:szCs w:val="16"/>
                <w:lang w:val="en-IE"/>
              </w:rPr>
              <w:t xml:space="preserve"> 4</w:t>
            </w:r>
            <w:r w:rsidR="004A0954" w:rsidRPr="00882D2B">
              <w:rPr>
                <w:rFonts w:ascii="Arial" w:hAnsi="Arial"/>
                <w:b w:val="0"/>
                <w:color w:val="000000" w:themeColor="text1"/>
                <w:sz w:val="16"/>
                <w:szCs w:val="16"/>
                <w:lang w:val="en-IE"/>
              </w:rPr>
              <w:t>mm</w:t>
            </w:r>
          </w:p>
        </w:tc>
        <w:tc>
          <w:tcPr>
            <w:tcW w:w="2408" w:type="dxa"/>
          </w:tcPr>
          <w:p w14:paraId="3E767DEE" w14:textId="77777777" w:rsidR="00854F27" w:rsidRPr="00882D2B" w:rsidRDefault="00854F27" w:rsidP="009431C4">
            <w:pPr>
              <w:pStyle w:val="111"/>
              <w:spacing w:before="60" w:after="60"/>
              <w:ind w:left="0" w:firstLine="0"/>
              <w:jc w:val="center"/>
              <w:rPr>
                <w:rFonts w:ascii="Arial" w:hAnsi="Arial"/>
                <w:b w:val="0"/>
                <w:color w:val="000000" w:themeColor="text1"/>
                <w:sz w:val="16"/>
                <w:szCs w:val="16"/>
                <w:lang w:val="en-IE"/>
              </w:rPr>
            </w:pPr>
            <w:r w:rsidRPr="00882D2B">
              <w:rPr>
                <w:rFonts w:ascii="Arial" w:hAnsi="Arial"/>
                <w:b w:val="0"/>
                <w:color w:val="000000" w:themeColor="text1"/>
                <w:sz w:val="16"/>
                <w:szCs w:val="16"/>
                <w:lang w:val="en-IE"/>
              </w:rPr>
              <w:t>Inconclusive</w:t>
            </w:r>
          </w:p>
        </w:tc>
      </w:tr>
      <w:tr w:rsidR="00854F27" w:rsidRPr="00882D2B" w14:paraId="33987EC0" w14:textId="77777777" w:rsidTr="009431C4">
        <w:trPr>
          <w:jc w:val="center"/>
        </w:trPr>
        <w:tc>
          <w:tcPr>
            <w:tcW w:w="0" w:type="auto"/>
          </w:tcPr>
          <w:p w14:paraId="7490B7F3" w14:textId="499121C3" w:rsidR="00854F27" w:rsidRPr="00882D2B" w:rsidRDefault="002B2E2A" w:rsidP="009431C4">
            <w:pPr>
              <w:pStyle w:val="111"/>
              <w:spacing w:before="60" w:after="60"/>
              <w:ind w:left="0" w:firstLine="0"/>
              <w:jc w:val="center"/>
              <w:rPr>
                <w:rFonts w:ascii="Arial" w:hAnsi="Arial"/>
                <w:b w:val="0"/>
                <w:color w:val="000000" w:themeColor="text1"/>
                <w:sz w:val="16"/>
                <w:szCs w:val="16"/>
                <w:lang w:val="en-IE"/>
              </w:rPr>
            </w:pPr>
            <w:r>
              <w:rPr>
                <w:rFonts w:ascii="Arial" w:hAnsi="Arial" w:cs="Arial"/>
                <w:b w:val="0"/>
                <w:color w:val="000000" w:themeColor="text1"/>
                <w:sz w:val="16"/>
                <w:szCs w:val="16"/>
                <w:lang w:val="en-IE"/>
              </w:rPr>
              <w:t>≥</w:t>
            </w:r>
            <w:r w:rsidR="00854F27" w:rsidRPr="00882D2B">
              <w:rPr>
                <w:rFonts w:ascii="Arial" w:hAnsi="Arial"/>
                <w:b w:val="0"/>
                <w:color w:val="000000" w:themeColor="text1"/>
                <w:sz w:val="16"/>
                <w:szCs w:val="16"/>
                <w:lang w:val="en-IE"/>
              </w:rPr>
              <w:t xml:space="preserve"> 4</w:t>
            </w:r>
            <w:r w:rsidR="004A0954" w:rsidRPr="00882D2B">
              <w:rPr>
                <w:rFonts w:ascii="Arial" w:hAnsi="Arial"/>
                <w:b w:val="0"/>
                <w:color w:val="000000" w:themeColor="text1"/>
                <w:sz w:val="16"/>
                <w:szCs w:val="16"/>
                <w:lang w:val="en-IE"/>
              </w:rPr>
              <w:t>mm</w:t>
            </w:r>
          </w:p>
        </w:tc>
        <w:tc>
          <w:tcPr>
            <w:tcW w:w="2408" w:type="dxa"/>
          </w:tcPr>
          <w:p w14:paraId="6EEDCB2D" w14:textId="77777777" w:rsidR="00854F27" w:rsidRPr="00882D2B" w:rsidRDefault="00854F27" w:rsidP="009431C4">
            <w:pPr>
              <w:pStyle w:val="111"/>
              <w:spacing w:before="60" w:after="60"/>
              <w:ind w:left="0" w:firstLine="0"/>
              <w:jc w:val="center"/>
              <w:rPr>
                <w:rFonts w:ascii="Arial" w:hAnsi="Arial"/>
                <w:b w:val="0"/>
                <w:color w:val="000000" w:themeColor="text1"/>
                <w:sz w:val="16"/>
                <w:szCs w:val="16"/>
                <w:lang w:val="en-IE"/>
              </w:rPr>
            </w:pPr>
            <w:r w:rsidRPr="00882D2B">
              <w:rPr>
                <w:rFonts w:ascii="Arial" w:hAnsi="Arial"/>
                <w:b w:val="0"/>
                <w:color w:val="000000" w:themeColor="text1"/>
                <w:sz w:val="16"/>
                <w:szCs w:val="16"/>
                <w:lang w:val="en-IE"/>
              </w:rPr>
              <w:t>Positive</w:t>
            </w:r>
          </w:p>
        </w:tc>
      </w:tr>
    </w:tbl>
    <w:p w14:paraId="3EDCB7B4" w14:textId="4445C332" w:rsidR="00854F27" w:rsidRPr="00882D2B" w:rsidRDefault="00854F27" w:rsidP="009431C4">
      <w:pPr>
        <w:pStyle w:val="afourthpara"/>
        <w:spacing w:before="120"/>
        <w:rPr>
          <w:lang w:val="en-IE"/>
        </w:rPr>
      </w:pPr>
      <w:r w:rsidRPr="00882D2B">
        <w:rPr>
          <w:lang w:val="en-IE"/>
        </w:rPr>
        <w:t xml:space="preserve">Animals that are inconclusive by the single intradermal test should be subjected to a second test after </w:t>
      </w:r>
      <w:r w:rsidRPr="007F74FA">
        <w:rPr>
          <w:highlight w:val="yellow"/>
          <w:u w:val="double"/>
          <w:lang w:val="en-IE"/>
        </w:rPr>
        <w:t>an interval of</w:t>
      </w:r>
      <w:r w:rsidRPr="007F74FA">
        <w:rPr>
          <w:lang w:val="en-IE"/>
        </w:rPr>
        <w:t xml:space="preserve"> </w:t>
      </w:r>
      <w:r w:rsidR="00900A15" w:rsidRPr="00BA30CD">
        <w:rPr>
          <w:strike/>
          <w:lang w:val="en-IE"/>
        </w:rPr>
        <w:t>7</w:t>
      </w:r>
      <w:r w:rsidR="00BA30CD" w:rsidRPr="00BA30CD">
        <w:rPr>
          <w:strike/>
          <w:lang w:val="en-IE"/>
        </w:rPr>
        <w:t>–8</w:t>
      </w:r>
      <w:r w:rsidR="0004207C" w:rsidRPr="00BA30CD">
        <w:rPr>
          <w:strike/>
          <w:lang w:val="en-IE"/>
        </w:rPr>
        <w:t xml:space="preserve"> </w:t>
      </w:r>
      <w:r w:rsidR="006F7F10" w:rsidRPr="00BA30CD">
        <w:rPr>
          <w:u w:val="double"/>
          <w:lang w:val="en-IE"/>
        </w:rPr>
        <w:t>6</w:t>
      </w:r>
      <w:r w:rsidRPr="00BA30CD">
        <w:rPr>
          <w:lang w:val="en-IE"/>
        </w:rPr>
        <w:t xml:space="preserve"> </w:t>
      </w:r>
      <w:r w:rsidR="002B2E2A" w:rsidRPr="007D2570">
        <w:rPr>
          <w:highlight w:val="yellow"/>
          <w:lang w:val="en-IE"/>
        </w:rPr>
        <w:t>weeks</w:t>
      </w:r>
      <w:r w:rsidRPr="00882D2B">
        <w:rPr>
          <w:lang w:val="en-IE"/>
        </w:rPr>
        <w:t xml:space="preserve">. Animals that repeatedly test as inconclusive should be considered as positive. </w:t>
      </w:r>
    </w:p>
    <w:p w14:paraId="348044A4" w14:textId="34ABE195" w:rsidR="00854F27" w:rsidRPr="00882D2B" w:rsidRDefault="00854F27" w:rsidP="009431C4">
      <w:pPr>
        <w:pStyle w:val="afourthpara"/>
        <w:rPr>
          <w:lang w:val="en-IE"/>
        </w:rPr>
      </w:pPr>
      <w:r w:rsidRPr="00882D2B">
        <w:rPr>
          <w:lang w:val="en-IE"/>
        </w:rPr>
        <w:t xml:space="preserve">A more stringent interpretation is recommended, particularly in a high-risk population or in-contact animals. </w:t>
      </w:r>
      <w:r w:rsidRPr="0004207C">
        <w:rPr>
          <w:strike/>
          <w:highlight w:val="yellow"/>
          <w:lang w:val="en-IE"/>
        </w:rPr>
        <w:t xml:space="preserve">In regions or in situations where a high false positive </w:t>
      </w:r>
      <w:r w:rsidR="00995D1A" w:rsidRPr="0004207C">
        <w:rPr>
          <w:strike/>
          <w:highlight w:val="yellow"/>
          <w:lang w:val="en-IE"/>
        </w:rPr>
        <w:t xml:space="preserve">rate </w:t>
      </w:r>
      <w:r w:rsidRPr="0004207C">
        <w:rPr>
          <w:strike/>
          <w:highlight w:val="yellow"/>
          <w:lang w:val="en-IE"/>
        </w:rPr>
        <w:t>is expected due to sensit</w:t>
      </w:r>
      <w:r w:rsidR="00861AC4" w:rsidRPr="0004207C">
        <w:rPr>
          <w:strike/>
          <w:highlight w:val="yellow"/>
          <w:lang w:val="en-IE"/>
        </w:rPr>
        <w:t>is</w:t>
      </w:r>
      <w:r w:rsidRPr="0004207C">
        <w:rPr>
          <w:strike/>
          <w:highlight w:val="yellow"/>
          <w:lang w:val="en-IE"/>
        </w:rPr>
        <w:t>ation or cross-reactivity with environmental mycobacteria, the SCT will result in a high percentage of false reactors.</w:t>
      </w:r>
      <w:r w:rsidR="00140119" w:rsidRPr="0004207C">
        <w:rPr>
          <w:strike/>
          <w:highlight w:val="yellow"/>
          <w:lang w:val="en-IE"/>
        </w:rPr>
        <w:t xml:space="preserve"> </w:t>
      </w:r>
      <w:r w:rsidRPr="0004207C">
        <w:rPr>
          <w:strike/>
          <w:highlight w:val="yellow"/>
          <w:lang w:val="en-IE"/>
        </w:rPr>
        <w:t xml:space="preserve">In such cases, animals that are reactors with the SCT may be retested with the CCT </w:t>
      </w:r>
      <w:r w:rsidR="007F3ED2" w:rsidRPr="0004207C">
        <w:rPr>
          <w:strike/>
          <w:highlight w:val="yellow"/>
          <w:lang w:val="en-IE"/>
        </w:rPr>
        <w:t>(</w:t>
      </w:r>
      <w:r w:rsidRPr="0004207C">
        <w:rPr>
          <w:strike/>
          <w:highlight w:val="yellow"/>
          <w:lang w:val="en-IE" w:eastAsia="nl-NL"/>
        </w:rPr>
        <w:t xml:space="preserve">after a minimum </w:t>
      </w:r>
      <w:r w:rsidR="00D149DD" w:rsidRPr="0004207C">
        <w:rPr>
          <w:strike/>
          <w:highlight w:val="yellow"/>
          <w:lang w:val="en-IE" w:eastAsia="nl-NL"/>
        </w:rPr>
        <w:t>7-8</w:t>
      </w:r>
      <w:r w:rsidR="00656054" w:rsidRPr="0004207C">
        <w:rPr>
          <w:strike/>
          <w:highlight w:val="yellow"/>
          <w:lang w:val="en-IE" w:eastAsia="nl-NL"/>
        </w:rPr>
        <w:t xml:space="preserve"> </w:t>
      </w:r>
      <w:r w:rsidRPr="0004207C">
        <w:rPr>
          <w:strike/>
          <w:highlight w:val="yellow"/>
          <w:lang w:val="en-IE" w:eastAsia="nl-NL"/>
        </w:rPr>
        <w:t>week interval</w:t>
      </w:r>
      <w:r w:rsidR="007F3ED2" w:rsidRPr="0004207C">
        <w:rPr>
          <w:strike/>
          <w:highlight w:val="yellow"/>
          <w:lang w:val="en-IE" w:eastAsia="nl-NL"/>
        </w:rPr>
        <w:t>)</w:t>
      </w:r>
      <w:r w:rsidRPr="0004207C">
        <w:rPr>
          <w:strike/>
          <w:highlight w:val="yellow"/>
          <w:lang w:val="en-IE" w:eastAsia="nl-NL"/>
        </w:rPr>
        <w:t xml:space="preserve"> </w:t>
      </w:r>
      <w:r w:rsidRPr="0004207C">
        <w:rPr>
          <w:strike/>
          <w:highlight w:val="yellow"/>
          <w:lang w:val="en-IE"/>
        </w:rPr>
        <w:t xml:space="preserve">for confirmation of the true reactor status. However, due to the lower sensitivity of the CCT, false negatives may result, leading to a delay or failure of clearing the herd of tuberculosis </w:t>
      </w:r>
      <w:r w:rsidR="006E0BF0" w:rsidRPr="0004207C">
        <w:rPr>
          <w:strike/>
          <w:highlight w:val="yellow"/>
          <w:lang w:val="en-IE"/>
        </w:rPr>
        <w:t>with the risk of</w:t>
      </w:r>
      <w:r w:rsidRPr="0004207C">
        <w:rPr>
          <w:strike/>
          <w:highlight w:val="yellow"/>
          <w:lang w:val="en-IE"/>
        </w:rPr>
        <w:t xml:space="preserve"> recurrent </w:t>
      </w:r>
      <w:r w:rsidR="002B2E2A" w:rsidRPr="0004207C">
        <w:rPr>
          <w:strike/>
          <w:highlight w:val="yellow"/>
          <w:lang w:val="en-IE"/>
        </w:rPr>
        <w:t>breakdowns</w:t>
      </w:r>
      <w:r w:rsidRPr="0004207C">
        <w:rPr>
          <w:strike/>
          <w:highlight w:val="yellow"/>
          <w:lang w:val="en-IE"/>
        </w:rPr>
        <w:t>.</w:t>
      </w:r>
      <w:r w:rsidR="002E4DF8" w:rsidRPr="0004207C">
        <w:rPr>
          <w:strike/>
          <w:highlight w:val="yellow"/>
          <w:lang w:val="en-IE"/>
        </w:rPr>
        <w:t xml:space="preserve"> The presence</w:t>
      </w:r>
      <w:r w:rsidR="00233F9E" w:rsidRPr="0004207C">
        <w:rPr>
          <w:strike/>
          <w:highlight w:val="yellow"/>
          <w:lang w:val="en-IE"/>
        </w:rPr>
        <w:t>/absence of clinical signs should also be considered in determining the herd status.</w:t>
      </w:r>
    </w:p>
    <w:p w14:paraId="0C2F6D20" w14:textId="7217C136" w:rsidR="00A15466" w:rsidRPr="00882D2B" w:rsidRDefault="00854F27" w:rsidP="009431C4">
      <w:pPr>
        <w:pStyle w:val="afourthlevel"/>
        <w:rPr>
          <w:rFonts w:eastAsiaTheme="minorHAnsi"/>
          <w:lang w:val="en-IE"/>
        </w:rPr>
      </w:pPr>
      <w:r w:rsidRPr="00882D2B">
        <w:rPr>
          <w:rFonts w:eastAsiaTheme="minorHAnsi"/>
          <w:lang w:val="en-IE"/>
        </w:rPr>
        <w:t xml:space="preserve">2.2.2.2. The </w:t>
      </w:r>
      <w:bookmarkStart w:id="9" w:name="_Hlk95752180"/>
      <w:r w:rsidRPr="00882D2B">
        <w:rPr>
          <w:rFonts w:eastAsiaTheme="minorHAnsi"/>
          <w:lang w:val="en-IE"/>
        </w:rPr>
        <w:t xml:space="preserve">comparative cervical test </w:t>
      </w:r>
      <w:bookmarkEnd w:id="9"/>
      <w:r w:rsidRPr="00882D2B">
        <w:rPr>
          <w:rFonts w:eastAsiaTheme="minorHAnsi"/>
          <w:lang w:val="en-IE"/>
        </w:rPr>
        <w:t>(</w:t>
      </w:r>
      <w:r w:rsidR="002B2E2A" w:rsidRPr="00882D2B">
        <w:rPr>
          <w:rFonts w:eastAsiaTheme="minorHAnsi"/>
          <w:lang w:val="en-IE"/>
        </w:rPr>
        <w:t>CCT</w:t>
      </w:r>
      <w:r w:rsidRPr="00882D2B">
        <w:rPr>
          <w:rFonts w:eastAsiaTheme="minorHAnsi"/>
          <w:lang w:val="en-IE"/>
        </w:rPr>
        <w:t>)</w:t>
      </w:r>
    </w:p>
    <w:p w14:paraId="2A239632" w14:textId="7685E61C" w:rsidR="00854F27" w:rsidRPr="00882D2B" w:rsidRDefault="00854F27" w:rsidP="009431C4">
      <w:pPr>
        <w:pStyle w:val="afourthpara"/>
        <w:rPr>
          <w:rFonts w:eastAsiaTheme="minorHAnsi"/>
          <w:b/>
          <w:color w:val="000000" w:themeColor="text1"/>
          <w:lang w:val="en-IE"/>
        </w:rPr>
      </w:pPr>
      <w:r w:rsidRPr="00882D2B">
        <w:rPr>
          <w:rFonts w:eastAsiaTheme="minorHAnsi"/>
          <w:lang w:val="en-IE"/>
        </w:rPr>
        <w:t xml:space="preserve">In the interpretation of the CCT, a reaction to </w:t>
      </w:r>
      <w:r w:rsidRPr="00BA30CD">
        <w:rPr>
          <w:rFonts w:eastAsiaTheme="minorHAnsi"/>
          <w:strike/>
          <w:highlight w:val="yellow"/>
          <w:lang w:val="en-IE"/>
        </w:rPr>
        <w:t>either</w:t>
      </w:r>
      <w:r w:rsidRPr="00BA30CD">
        <w:rPr>
          <w:rFonts w:eastAsiaTheme="minorHAnsi"/>
          <w:strike/>
          <w:lang w:val="en-IE"/>
        </w:rPr>
        <w:t xml:space="preserve"> </w:t>
      </w:r>
      <w:r w:rsidRPr="00882D2B">
        <w:rPr>
          <w:rFonts w:eastAsiaTheme="minorHAnsi"/>
          <w:lang w:val="en-IE"/>
        </w:rPr>
        <w:t xml:space="preserve">PPD-B </w:t>
      </w:r>
      <w:r w:rsidRPr="00BA30CD">
        <w:rPr>
          <w:rFonts w:eastAsiaTheme="minorHAnsi"/>
          <w:strike/>
          <w:highlight w:val="yellow"/>
          <w:lang w:val="en-IE"/>
        </w:rPr>
        <w:t>or PPD-A</w:t>
      </w:r>
      <w:r w:rsidRPr="00BD7706">
        <w:rPr>
          <w:rFonts w:eastAsiaTheme="minorHAnsi"/>
          <w:strike/>
          <w:lang w:val="en-IE"/>
        </w:rPr>
        <w:t xml:space="preserve"> </w:t>
      </w:r>
      <w:r w:rsidRPr="00882D2B">
        <w:rPr>
          <w:rFonts w:eastAsiaTheme="minorHAnsi"/>
          <w:lang w:val="en-IE"/>
        </w:rPr>
        <w:t>is commonly considered negative if the increase in skin thickness is less than 2</w:t>
      </w:r>
      <w:r w:rsidR="009431C4" w:rsidRPr="00882D2B">
        <w:rPr>
          <w:rFonts w:eastAsiaTheme="minorHAnsi"/>
          <w:lang w:val="en-IE"/>
        </w:rPr>
        <w:t> </w:t>
      </w:r>
      <w:r w:rsidRPr="00882D2B">
        <w:rPr>
          <w:rFonts w:eastAsiaTheme="minorHAnsi"/>
          <w:lang w:val="en-IE"/>
        </w:rPr>
        <w:t xml:space="preserve">mm. </w:t>
      </w:r>
      <w:r w:rsidR="00537BCB" w:rsidRPr="00882D2B">
        <w:rPr>
          <w:rFonts w:eastAsiaTheme="minorHAnsi"/>
          <w:lang w:val="en-IE"/>
        </w:rPr>
        <w:t>Depending on local legislation</w:t>
      </w:r>
      <w:r w:rsidR="008D12BB" w:rsidRPr="00882D2B">
        <w:rPr>
          <w:rFonts w:eastAsiaTheme="minorHAnsi"/>
          <w:lang w:val="en-IE"/>
        </w:rPr>
        <w:t>,</w:t>
      </w:r>
      <w:r w:rsidR="00537BCB" w:rsidRPr="00882D2B">
        <w:rPr>
          <w:rFonts w:eastAsiaTheme="minorHAnsi"/>
          <w:lang w:val="en-IE"/>
        </w:rPr>
        <w:t xml:space="preserve"> </w:t>
      </w:r>
      <w:r w:rsidR="008D12BB" w:rsidRPr="00882D2B">
        <w:rPr>
          <w:rFonts w:eastAsiaTheme="minorHAnsi"/>
          <w:lang w:val="en-IE"/>
        </w:rPr>
        <w:t>t</w:t>
      </w:r>
      <w:r w:rsidRPr="00882D2B">
        <w:rPr>
          <w:rFonts w:eastAsiaTheme="minorHAnsi"/>
          <w:lang w:val="en-IE"/>
        </w:rPr>
        <w:t xml:space="preserve">he CCT is usually considered to be positive if the increase in skin thickness at the </w:t>
      </w:r>
      <w:r w:rsidR="008D12BB" w:rsidRPr="00882D2B">
        <w:rPr>
          <w:rFonts w:eastAsiaTheme="minorHAnsi"/>
          <w:lang w:val="en-IE"/>
        </w:rPr>
        <w:t xml:space="preserve">injection </w:t>
      </w:r>
      <w:r w:rsidRPr="00882D2B">
        <w:rPr>
          <w:rFonts w:eastAsiaTheme="minorHAnsi"/>
          <w:lang w:val="en-IE"/>
        </w:rPr>
        <w:t xml:space="preserve">site of PPD-B is greater </w:t>
      </w:r>
      <w:r w:rsidR="00C8506C" w:rsidRPr="00882D2B">
        <w:rPr>
          <w:rFonts w:eastAsiaTheme="minorHAnsi"/>
          <w:lang w:val="en-IE"/>
        </w:rPr>
        <w:t>by</w:t>
      </w:r>
      <w:r w:rsidRPr="00882D2B">
        <w:rPr>
          <w:rFonts w:eastAsiaTheme="minorHAnsi"/>
          <w:lang w:val="en-IE"/>
        </w:rPr>
        <w:t xml:space="preserve"> 4</w:t>
      </w:r>
      <w:r w:rsidR="001647E1">
        <w:rPr>
          <w:rFonts w:eastAsiaTheme="minorHAnsi"/>
          <w:lang w:val="en-IE"/>
        </w:rPr>
        <w:t> </w:t>
      </w:r>
      <w:r w:rsidRPr="00882D2B">
        <w:rPr>
          <w:rFonts w:eastAsiaTheme="minorHAnsi"/>
          <w:lang w:val="en-IE"/>
        </w:rPr>
        <w:t>mm</w:t>
      </w:r>
      <w:r w:rsidR="001647E1">
        <w:rPr>
          <w:rFonts w:eastAsiaTheme="minorHAnsi"/>
          <w:lang w:val="en-IE"/>
        </w:rPr>
        <w:t xml:space="preserve"> or more</w:t>
      </w:r>
      <w:r w:rsidRPr="00882D2B">
        <w:rPr>
          <w:rFonts w:eastAsiaTheme="minorHAnsi"/>
          <w:lang w:val="en-IE"/>
        </w:rPr>
        <w:t xml:space="preserve"> than the reaction shown at the site of the PPD-A. The reaction is considered inconclusive if the</w:t>
      </w:r>
      <w:r w:rsidR="00C60DDA">
        <w:rPr>
          <w:rFonts w:eastAsiaTheme="minorHAnsi"/>
          <w:lang w:val="en-IE"/>
        </w:rPr>
        <w:t>re is</w:t>
      </w:r>
      <w:r w:rsidRPr="00882D2B">
        <w:rPr>
          <w:rFonts w:eastAsiaTheme="minorHAnsi"/>
          <w:lang w:val="en-IE"/>
        </w:rPr>
        <w:t xml:space="preserve"> </w:t>
      </w:r>
      <w:r w:rsidR="00C60DDA" w:rsidRPr="00882D2B">
        <w:rPr>
          <w:rFonts w:eastAsiaTheme="minorHAnsi"/>
          <w:lang w:val="en-IE"/>
        </w:rPr>
        <w:t xml:space="preserve">a difference </w:t>
      </w:r>
      <w:r w:rsidR="00C46FB7" w:rsidRPr="00882D2B">
        <w:rPr>
          <w:rFonts w:eastAsiaTheme="minorHAnsi"/>
          <w:lang w:val="en-IE"/>
        </w:rPr>
        <w:t xml:space="preserve">in skin thickness </w:t>
      </w:r>
      <w:r w:rsidR="00C46FB7">
        <w:rPr>
          <w:rFonts w:eastAsiaTheme="minorHAnsi"/>
          <w:lang w:val="en-IE"/>
        </w:rPr>
        <w:t xml:space="preserve">of </w:t>
      </w:r>
      <w:r w:rsidR="00183FD3" w:rsidRPr="005B3165">
        <w:rPr>
          <w:sz w:val="16"/>
          <w:szCs w:val="16"/>
        </w:rPr>
        <w:t>≥</w:t>
      </w:r>
      <w:r w:rsidR="00995AC7">
        <w:rPr>
          <w:rFonts w:eastAsiaTheme="minorHAnsi"/>
          <w:lang w:val="en-IE"/>
        </w:rPr>
        <w:t> </w:t>
      </w:r>
      <w:r w:rsidR="00C60DDA" w:rsidRPr="00BA30CD">
        <w:rPr>
          <w:rFonts w:eastAsiaTheme="minorHAnsi"/>
          <w:strike/>
          <w:color w:val="0D0D0D" w:themeColor="text1" w:themeTint="F2"/>
          <w:highlight w:val="yellow"/>
          <w:lang w:val="en-IE"/>
        </w:rPr>
        <w:t>2</w:t>
      </w:r>
      <w:r w:rsidR="00BA30CD" w:rsidRPr="00BA30CD">
        <w:rPr>
          <w:rFonts w:eastAsiaTheme="minorHAnsi"/>
          <w:strike/>
          <w:color w:val="0D0D0D" w:themeColor="text1" w:themeTint="F2"/>
          <w:highlight w:val="yellow"/>
          <w:lang w:val="en-IE"/>
        </w:rPr>
        <w:t xml:space="preserve"> </w:t>
      </w:r>
      <w:r w:rsidR="00DB77F5" w:rsidRPr="00BA30CD">
        <w:rPr>
          <w:rFonts w:eastAsiaTheme="minorHAnsi"/>
          <w:color w:val="0D0D0D" w:themeColor="text1" w:themeTint="F2"/>
          <w:highlight w:val="yellow"/>
          <w:u w:val="double"/>
          <w:lang w:val="en-IE"/>
        </w:rPr>
        <w:t>0</w:t>
      </w:r>
      <w:r w:rsidR="00C60DDA" w:rsidRPr="00882D2B">
        <w:rPr>
          <w:rFonts w:eastAsiaTheme="minorHAnsi"/>
          <w:color w:val="0D0D0D" w:themeColor="text1" w:themeTint="F2"/>
          <w:lang w:val="en-IE"/>
        </w:rPr>
        <w:t xml:space="preserve"> mm and</w:t>
      </w:r>
      <w:r w:rsidR="00C60DDA" w:rsidRPr="00882D2B">
        <w:rPr>
          <w:rFonts w:eastAsiaTheme="minorHAnsi"/>
          <w:lang w:val="en-IE"/>
        </w:rPr>
        <w:t xml:space="preserve"> &lt;4 mm</w:t>
      </w:r>
      <w:r w:rsidR="00C31C3D">
        <w:rPr>
          <w:rFonts w:eastAsiaTheme="minorHAnsi"/>
          <w:lang w:val="en-IE"/>
        </w:rPr>
        <w:t xml:space="preserve"> </w:t>
      </w:r>
      <w:r w:rsidR="00BD7706">
        <w:rPr>
          <w:rFonts w:eastAsiaTheme="minorHAnsi"/>
          <w:highlight w:val="yellow"/>
          <w:u w:val="double"/>
          <w:lang w:val="en-IE"/>
        </w:rPr>
        <w:t>and</w:t>
      </w:r>
      <w:r w:rsidR="00C31C3D" w:rsidRPr="00BA30CD">
        <w:rPr>
          <w:rFonts w:eastAsiaTheme="minorHAnsi"/>
          <w:highlight w:val="yellow"/>
          <w:u w:val="double"/>
          <w:lang w:val="en-IE"/>
        </w:rPr>
        <w:t xml:space="preserve"> a reaction to PPD-B </w:t>
      </w:r>
      <w:r w:rsidR="00701E7C">
        <w:rPr>
          <w:rFonts w:eastAsiaTheme="minorHAnsi"/>
          <w:highlight w:val="yellow"/>
          <w:u w:val="double"/>
          <w:lang w:val="en-IE"/>
        </w:rPr>
        <w:t>of</w:t>
      </w:r>
      <w:r w:rsidR="00C31C3D" w:rsidRPr="00BA30CD">
        <w:rPr>
          <w:rFonts w:eastAsiaTheme="minorHAnsi"/>
          <w:highlight w:val="yellow"/>
          <w:u w:val="double"/>
          <w:lang w:val="en-IE"/>
        </w:rPr>
        <w:t xml:space="preserve"> 2 mm or more</w:t>
      </w:r>
      <w:r w:rsidRPr="00C31C3D">
        <w:rPr>
          <w:rFonts w:eastAsiaTheme="minorHAnsi"/>
          <w:highlight w:val="yellow"/>
          <w:lang w:val="en-IE"/>
        </w:rPr>
        <w:t>.</w:t>
      </w:r>
      <w:r w:rsidRPr="00882D2B">
        <w:rPr>
          <w:rFonts w:eastAsiaTheme="minorHAnsi"/>
          <w:lang w:val="en-IE"/>
        </w:rPr>
        <w:t xml:space="preserve"> All inconclusive reactors </w:t>
      </w:r>
      <w:r w:rsidR="00017355">
        <w:rPr>
          <w:rFonts w:eastAsiaTheme="minorHAnsi"/>
          <w:lang w:val="en-IE"/>
        </w:rPr>
        <w:t xml:space="preserve">should </w:t>
      </w:r>
      <w:r w:rsidRPr="00882D2B">
        <w:rPr>
          <w:rFonts w:eastAsiaTheme="minorHAnsi"/>
          <w:lang w:val="en-IE"/>
        </w:rPr>
        <w:t xml:space="preserve">be retested after </w:t>
      </w:r>
      <w:r w:rsidRPr="00BA30CD">
        <w:rPr>
          <w:rFonts w:eastAsiaTheme="minorHAnsi"/>
          <w:strike/>
          <w:highlight w:val="yellow"/>
          <w:lang w:val="en-IE"/>
        </w:rPr>
        <w:t xml:space="preserve">8 </w:t>
      </w:r>
      <w:r w:rsidR="006F7F10" w:rsidRPr="00BA30CD">
        <w:rPr>
          <w:rFonts w:eastAsiaTheme="minorHAnsi"/>
          <w:highlight w:val="yellow"/>
          <w:u w:val="double"/>
          <w:lang w:val="en-IE"/>
        </w:rPr>
        <w:t>6</w:t>
      </w:r>
      <w:r w:rsidR="006F7F10" w:rsidRPr="00882D2B">
        <w:rPr>
          <w:rFonts w:eastAsiaTheme="minorHAnsi"/>
          <w:lang w:val="en-IE"/>
        </w:rPr>
        <w:t xml:space="preserve"> </w:t>
      </w:r>
      <w:r w:rsidRPr="00882D2B">
        <w:rPr>
          <w:rFonts w:eastAsiaTheme="minorHAnsi"/>
          <w:lang w:val="en-IE"/>
        </w:rPr>
        <w:t>week</w:t>
      </w:r>
      <w:r w:rsidR="00113A9E">
        <w:rPr>
          <w:rFonts w:eastAsiaTheme="minorHAnsi"/>
          <w:lang w:val="en-IE"/>
        </w:rPr>
        <w:t>s</w:t>
      </w:r>
      <w:r w:rsidRPr="00882D2B">
        <w:rPr>
          <w:rFonts w:eastAsiaTheme="minorHAnsi"/>
          <w:lang w:val="en-IE"/>
        </w:rPr>
        <w:t xml:space="preserve">. </w:t>
      </w:r>
      <w:r w:rsidR="00113A9E">
        <w:rPr>
          <w:rFonts w:eastAsiaTheme="minorHAnsi"/>
          <w:lang w:val="en-IE"/>
        </w:rPr>
        <w:t>If</w:t>
      </w:r>
      <w:r w:rsidRPr="00882D2B">
        <w:rPr>
          <w:rFonts w:eastAsiaTheme="minorHAnsi"/>
          <w:lang w:val="en-IE"/>
        </w:rPr>
        <w:t xml:space="preserve"> the increase in skin thickness </w:t>
      </w:r>
      <w:r w:rsidR="00346E00">
        <w:rPr>
          <w:rFonts w:eastAsiaTheme="minorHAnsi"/>
          <w:lang w:val="en-IE"/>
        </w:rPr>
        <w:t>with</w:t>
      </w:r>
      <w:r w:rsidRPr="00882D2B">
        <w:rPr>
          <w:rFonts w:eastAsiaTheme="minorHAnsi"/>
          <w:lang w:val="en-IE"/>
        </w:rPr>
        <w:t xml:space="preserve"> PPD-B is less than or equal to the increase in </w:t>
      </w:r>
      <w:r w:rsidR="00346E00">
        <w:rPr>
          <w:rFonts w:eastAsiaTheme="minorHAnsi"/>
          <w:lang w:val="en-IE"/>
        </w:rPr>
        <w:t>that with</w:t>
      </w:r>
      <w:r w:rsidRPr="00882D2B">
        <w:rPr>
          <w:rFonts w:eastAsiaTheme="minorHAnsi"/>
          <w:lang w:val="en-IE"/>
        </w:rPr>
        <w:t xml:space="preserve"> PPD</w:t>
      </w:r>
      <w:r w:rsidR="00A3521A" w:rsidRPr="00882D2B">
        <w:rPr>
          <w:rFonts w:eastAsiaTheme="minorHAnsi"/>
          <w:lang w:val="en-IE"/>
        </w:rPr>
        <w:t>-A</w:t>
      </w:r>
      <w:r w:rsidRPr="00882D2B">
        <w:rPr>
          <w:rFonts w:eastAsiaTheme="minorHAnsi"/>
          <w:color w:val="000000" w:themeColor="text1"/>
          <w:lang w:val="en-IE"/>
        </w:rPr>
        <w:t xml:space="preserve">, </w:t>
      </w:r>
      <w:r w:rsidRPr="00882D2B">
        <w:rPr>
          <w:rFonts w:eastAsiaTheme="minorHAnsi"/>
          <w:lang w:val="en-IE"/>
        </w:rPr>
        <w:t xml:space="preserve">the animal is </w:t>
      </w:r>
      <w:r w:rsidR="00505976">
        <w:rPr>
          <w:rFonts w:eastAsiaTheme="minorHAnsi"/>
          <w:lang w:val="en-IE"/>
        </w:rPr>
        <w:t>classed</w:t>
      </w:r>
      <w:r w:rsidRPr="00882D2B">
        <w:rPr>
          <w:rFonts w:eastAsiaTheme="minorHAnsi"/>
          <w:lang w:val="en-IE"/>
        </w:rPr>
        <w:t xml:space="preserve"> as negative</w:t>
      </w:r>
      <w:r w:rsidRPr="00882D2B">
        <w:rPr>
          <w:rFonts w:eastAsiaTheme="minorHAnsi"/>
          <w:color w:val="000000" w:themeColor="text1"/>
          <w:lang w:val="en-IE"/>
        </w:rPr>
        <w:t xml:space="preserve">. </w:t>
      </w:r>
    </w:p>
    <w:p w14:paraId="3D2D6791" w14:textId="67616EE4" w:rsidR="00A409A9" w:rsidRPr="00FA476A" w:rsidRDefault="000E5F59" w:rsidP="009431C4">
      <w:pPr>
        <w:pStyle w:val="afourthpara"/>
      </w:pPr>
      <w:r w:rsidRPr="00882D2B">
        <w:rPr>
          <w:lang w:val="en-IE"/>
        </w:rPr>
        <w:t xml:space="preserve">Animals that are inconclusive by the CCT should be subjected to a second test after an interval of </w:t>
      </w:r>
      <w:r w:rsidR="00BA30CD" w:rsidRPr="00BA30CD">
        <w:rPr>
          <w:rFonts w:eastAsiaTheme="minorHAnsi"/>
          <w:strike/>
          <w:highlight w:val="yellow"/>
          <w:lang w:val="en-IE"/>
        </w:rPr>
        <w:t xml:space="preserve">8 </w:t>
      </w:r>
      <w:r w:rsidR="00BA30CD" w:rsidRPr="00BA30CD">
        <w:rPr>
          <w:rFonts w:eastAsiaTheme="minorHAnsi"/>
          <w:highlight w:val="yellow"/>
          <w:u w:val="double"/>
          <w:lang w:val="en-IE"/>
        </w:rPr>
        <w:t>6</w:t>
      </w:r>
      <w:r w:rsidRPr="00882D2B">
        <w:rPr>
          <w:lang w:val="en-IE"/>
        </w:rPr>
        <w:t xml:space="preserve"> weeks. Animals that are positive or again inconclusive should be regarded as positive and be removed from the herd. To accelerate the clearance of TB from a known infected herd, a more stringent interpretation may be adopted wherein the inconclusive results may be interpreted as test positive in order to avoid the </w:t>
      </w:r>
      <w:r w:rsidR="00BA30CD" w:rsidRPr="00BA30CD">
        <w:rPr>
          <w:rFonts w:eastAsiaTheme="minorHAnsi"/>
          <w:strike/>
          <w:highlight w:val="yellow"/>
          <w:lang w:val="en-IE"/>
        </w:rPr>
        <w:t xml:space="preserve">8 </w:t>
      </w:r>
      <w:r w:rsidR="00BA30CD" w:rsidRPr="00BA30CD">
        <w:rPr>
          <w:rFonts w:eastAsiaTheme="minorHAnsi"/>
          <w:highlight w:val="yellow"/>
          <w:u w:val="double"/>
          <w:lang w:val="en-IE"/>
        </w:rPr>
        <w:t>6</w:t>
      </w:r>
      <w:r w:rsidRPr="00882D2B">
        <w:rPr>
          <w:lang w:val="en-IE"/>
        </w:rPr>
        <w:t xml:space="preserve"> weeks desensit</w:t>
      </w:r>
      <w:r w:rsidR="00861AC4" w:rsidRPr="00882D2B">
        <w:rPr>
          <w:lang w:val="en-IE"/>
        </w:rPr>
        <w:t>is</w:t>
      </w:r>
      <w:r w:rsidRPr="00882D2B">
        <w:rPr>
          <w:lang w:val="en-IE"/>
        </w:rPr>
        <w:t>ation waiting period.</w:t>
      </w:r>
      <w:r w:rsidR="00953DF8" w:rsidRPr="00953DF8">
        <w:rPr>
          <w:lang w:val="en-IE"/>
        </w:rPr>
        <w:t xml:space="preserve"> </w:t>
      </w:r>
      <w:r w:rsidR="00953DF8">
        <w:rPr>
          <w:lang w:val="en-IE"/>
        </w:rPr>
        <w:t>The presence/absence of clinical signs should also be considered in determining the herd status.</w:t>
      </w:r>
    </w:p>
    <w:p w14:paraId="7D1486D8" w14:textId="517B3474" w:rsidR="006F40EA" w:rsidRPr="00A45C13" w:rsidRDefault="007230CA" w:rsidP="00A45C13">
      <w:pPr>
        <w:jc w:val="center"/>
        <w:rPr>
          <w:rFonts w:ascii="Arial" w:hAnsi="Arial" w:cs="Arial"/>
          <w:sz w:val="18"/>
          <w:szCs w:val="18"/>
          <w:lang w:val="en-IE"/>
        </w:rPr>
      </w:pPr>
      <w:r w:rsidRPr="00A45C13">
        <w:rPr>
          <w:rFonts w:ascii="Arial" w:hAnsi="Arial" w:cs="Arial"/>
          <w:sz w:val="18"/>
          <w:szCs w:val="18"/>
          <w:lang w:val="en-IE"/>
        </w:rPr>
        <w:t>Interpretation of the comparative cervical test</w:t>
      </w:r>
    </w:p>
    <w:tbl>
      <w:tblPr>
        <w:tblStyle w:val="TableGrid"/>
        <w:tblpPr w:leftFromText="180" w:rightFromText="180" w:vertAnchor="text" w:horzAnchor="margin" w:tblpXSpec="right"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69"/>
        <w:gridCol w:w="1159"/>
        <w:gridCol w:w="921"/>
        <w:gridCol w:w="1187"/>
        <w:gridCol w:w="1276"/>
        <w:gridCol w:w="1416"/>
      </w:tblGrid>
      <w:tr w:rsidR="006F40EA" w:rsidRPr="00882D2B" w14:paraId="108328FA" w14:textId="77777777" w:rsidTr="006F40EA">
        <w:tc>
          <w:tcPr>
            <w:tcW w:w="3562" w:type="dxa"/>
            <w:gridSpan w:val="3"/>
            <w:tcBorders>
              <w:bottom w:val="single" w:sz="4" w:space="0" w:color="000000"/>
            </w:tcBorders>
            <w:vAlign w:val="center"/>
          </w:tcPr>
          <w:p w14:paraId="436D057C" w14:textId="77777777" w:rsidR="006F40EA" w:rsidRPr="00882D2B" w:rsidRDefault="006F40EA" w:rsidP="006F40EA">
            <w:pPr>
              <w:keepNext/>
              <w:spacing w:before="60" w:after="60"/>
              <w:rPr>
                <w:rFonts w:ascii="Arial" w:hAnsi="Arial" w:cs="Arial"/>
                <w:b/>
                <w:bCs/>
                <w:sz w:val="18"/>
                <w:szCs w:val="18"/>
              </w:rPr>
            </w:pPr>
            <w:r w:rsidRPr="00882D2B">
              <w:rPr>
                <w:rFonts w:ascii="Arial" w:hAnsi="Arial" w:cs="Arial"/>
                <w:b/>
                <w:bCs/>
                <w:sz w:val="18"/>
                <w:szCs w:val="18"/>
              </w:rPr>
              <w:t>First round of testing</w:t>
            </w:r>
          </w:p>
        </w:tc>
        <w:tc>
          <w:tcPr>
            <w:tcW w:w="921" w:type="dxa"/>
            <w:vAlign w:val="center"/>
          </w:tcPr>
          <w:p w14:paraId="487851CB" w14:textId="77777777" w:rsidR="006F40EA" w:rsidRPr="00882D2B" w:rsidRDefault="006F40EA" w:rsidP="006F40EA">
            <w:pPr>
              <w:keepNext/>
              <w:spacing w:before="60" w:after="60"/>
              <w:jc w:val="center"/>
              <w:rPr>
                <w:rFonts w:ascii="Arial" w:hAnsi="Arial" w:cs="Arial"/>
                <w:b/>
                <w:bCs/>
                <w:sz w:val="18"/>
                <w:szCs w:val="18"/>
              </w:rPr>
            </w:pPr>
          </w:p>
        </w:tc>
        <w:tc>
          <w:tcPr>
            <w:tcW w:w="3879" w:type="dxa"/>
            <w:gridSpan w:val="3"/>
            <w:tcBorders>
              <w:bottom w:val="single" w:sz="4" w:space="0" w:color="000000"/>
            </w:tcBorders>
            <w:vAlign w:val="center"/>
          </w:tcPr>
          <w:p w14:paraId="4AE6BA3A" w14:textId="77777777" w:rsidR="006F40EA" w:rsidRPr="00882D2B" w:rsidRDefault="006F40EA" w:rsidP="006F40EA">
            <w:pPr>
              <w:keepNext/>
              <w:spacing w:before="60" w:after="60"/>
              <w:jc w:val="center"/>
              <w:rPr>
                <w:rFonts w:ascii="Arial" w:hAnsi="Arial" w:cs="Arial"/>
                <w:sz w:val="18"/>
                <w:szCs w:val="18"/>
              </w:rPr>
            </w:pPr>
            <w:r w:rsidRPr="00882D2B">
              <w:rPr>
                <w:rFonts w:ascii="Arial" w:hAnsi="Arial" w:cs="Arial"/>
                <w:sz w:val="18"/>
                <w:szCs w:val="18"/>
              </w:rPr>
              <w:t xml:space="preserve">Repeat testing </w:t>
            </w:r>
            <w:proofErr w:type="spellStart"/>
            <w:r w:rsidRPr="00882D2B">
              <w:rPr>
                <w:rFonts w:ascii="Arial" w:hAnsi="Arial" w:cs="Arial"/>
                <w:sz w:val="18"/>
                <w:szCs w:val="18"/>
              </w:rPr>
              <w:t>inconclusives</w:t>
            </w:r>
            <w:proofErr w:type="spellEnd"/>
          </w:p>
        </w:tc>
      </w:tr>
      <w:tr w:rsidR="006F40EA" w:rsidRPr="00882D2B" w14:paraId="75987A4C" w14:textId="77777777" w:rsidTr="00BA30CD">
        <w:tc>
          <w:tcPr>
            <w:tcW w:w="1134" w:type="dxa"/>
            <w:tcBorders>
              <w:top w:val="single" w:sz="4" w:space="0" w:color="000000"/>
              <w:left w:val="single" w:sz="4" w:space="0" w:color="000000"/>
              <w:bottom w:val="single" w:sz="12" w:space="0" w:color="000000"/>
              <w:right w:val="single" w:sz="4" w:space="0" w:color="000000"/>
            </w:tcBorders>
            <w:vAlign w:val="center"/>
          </w:tcPr>
          <w:p w14:paraId="12C7B37F" w14:textId="77777777" w:rsidR="006F40EA" w:rsidRPr="00C547EE" w:rsidRDefault="006F40EA" w:rsidP="006F40EA">
            <w:pPr>
              <w:keepNext/>
              <w:spacing w:before="60" w:after="60"/>
              <w:jc w:val="center"/>
              <w:rPr>
                <w:rFonts w:ascii="Arial" w:hAnsi="Arial" w:cs="Arial"/>
                <w:sz w:val="16"/>
                <w:szCs w:val="16"/>
              </w:rPr>
            </w:pPr>
            <w:r w:rsidRPr="00C547EE">
              <w:rPr>
                <w:rFonts w:ascii="Arial" w:hAnsi="Arial" w:cs="Arial"/>
                <w:color w:val="000000" w:themeColor="text1"/>
                <w:sz w:val="16"/>
                <w:szCs w:val="16"/>
                <w:lang w:val="en-IE"/>
              </w:rPr>
              <w:t>ΔB (mm)</w:t>
            </w:r>
          </w:p>
        </w:tc>
        <w:tc>
          <w:tcPr>
            <w:tcW w:w="1269" w:type="dxa"/>
            <w:tcBorders>
              <w:top w:val="single" w:sz="4" w:space="0" w:color="000000"/>
              <w:left w:val="single" w:sz="4" w:space="0" w:color="000000"/>
              <w:bottom w:val="single" w:sz="12" w:space="0" w:color="000000"/>
              <w:right w:val="single" w:sz="4" w:space="0" w:color="000000"/>
            </w:tcBorders>
            <w:vAlign w:val="center"/>
          </w:tcPr>
          <w:p w14:paraId="123DDD37" w14:textId="77777777" w:rsidR="006F40EA" w:rsidRPr="00882D2B" w:rsidRDefault="006F40EA" w:rsidP="006F40EA">
            <w:pPr>
              <w:keepNext/>
              <w:spacing w:before="60" w:after="60"/>
              <w:jc w:val="center"/>
              <w:rPr>
                <w:rFonts w:ascii="Arial" w:hAnsi="Arial" w:cs="Arial"/>
                <w:sz w:val="16"/>
                <w:szCs w:val="16"/>
              </w:rPr>
            </w:pPr>
            <w:r w:rsidRPr="00882D2B">
              <w:rPr>
                <w:rFonts w:ascii="Arial" w:hAnsi="Arial" w:cs="Arial"/>
                <w:color w:val="000000" w:themeColor="text1"/>
                <w:sz w:val="16"/>
                <w:szCs w:val="16"/>
                <w:lang w:val="en-IE"/>
              </w:rPr>
              <w:t>ΔB – ΔA</w:t>
            </w:r>
            <w:r w:rsidRPr="00882D2B">
              <w:rPr>
                <w:rFonts w:ascii="Arial" w:hAnsi="Arial" w:cs="Arial"/>
                <w:color w:val="000000" w:themeColor="text1"/>
                <w:sz w:val="16"/>
                <w:szCs w:val="16"/>
                <w:lang w:val="en-IE"/>
              </w:rPr>
              <w:br/>
              <w:t>(mm)</w:t>
            </w:r>
          </w:p>
        </w:tc>
        <w:tc>
          <w:tcPr>
            <w:tcW w:w="1159" w:type="dxa"/>
            <w:tcBorders>
              <w:top w:val="single" w:sz="4" w:space="0" w:color="000000"/>
              <w:left w:val="single" w:sz="4" w:space="0" w:color="000000"/>
              <w:bottom w:val="single" w:sz="12" w:space="0" w:color="000000"/>
              <w:right w:val="single" w:sz="4" w:space="0" w:color="000000"/>
            </w:tcBorders>
            <w:vAlign w:val="center"/>
          </w:tcPr>
          <w:p w14:paraId="6A5C44CB" w14:textId="77777777" w:rsidR="006F40EA" w:rsidRPr="00882D2B" w:rsidRDefault="006F40EA" w:rsidP="006F40EA">
            <w:pPr>
              <w:keepNext/>
              <w:spacing w:before="60" w:after="60"/>
              <w:jc w:val="center"/>
              <w:rPr>
                <w:rFonts w:ascii="Arial" w:hAnsi="Arial" w:cs="Arial"/>
                <w:sz w:val="16"/>
                <w:szCs w:val="16"/>
              </w:rPr>
            </w:pPr>
            <w:r w:rsidRPr="00882D2B">
              <w:rPr>
                <w:rFonts w:ascii="Arial" w:hAnsi="Arial" w:cs="Arial"/>
                <w:sz w:val="16"/>
                <w:szCs w:val="16"/>
              </w:rPr>
              <w:t>Interpretation of result</w:t>
            </w:r>
          </w:p>
        </w:tc>
        <w:tc>
          <w:tcPr>
            <w:tcW w:w="921" w:type="dxa"/>
            <w:tcBorders>
              <w:left w:val="single" w:sz="4" w:space="0" w:color="000000"/>
              <w:bottom w:val="single" w:sz="12" w:space="0" w:color="000000"/>
              <w:right w:val="single" w:sz="4" w:space="0" w:color="000000"/>
            </w:tcBorders>
            <w:vAlign w:val="center"/>
          </w:tcPr>
          <w:p w14:paraId="70C81A53" w14:textId="77777777" w:rsidR="006F40EA" w:rsidRPr="00882D2B" w:rsidRDefault="006F40EA" w:rsidP="006F40EA">
            <w:pPr>
              <w:keepNext/>
              <w:spacing w:before="60" w:after="60"/>
              <w:jc w:val="center"/>
              <w:rPr>
                <w:rFonts w:ascii="Arial" w:hAnsi="Arial" w:cs="Arial"/>
                <w:sz w:val="18"/>
                <w:szCs w:val="18"/>
              </w:rPr>
            </w:pPr>
          </w:p>
        </w:tc>
        <w:tc>
          <w:tcPr>
            <w:tcW w:w="1187" w:type="dxa"/>
            <w:tcBorders>
              <w:top w:val="single" w:sz="4" w:space="0" w:color="000000"/>
              <w:left w:val="single" w:sz="4" w:space="0" w:color="000000"/>
              <w:bottom w:val="single" w:sz="12" w:space="0" w:color="000000"/>
              <w:right w:val="single" w:sz="4" w:space="0" w:color="000000"/>
            </w:tcBorders>
            <w:vAlign w:val="center"/>
          </w:tcPr>
          <w:p w14:paraId="47A6E8A6" w14:textId="4E0A4F46" w:rsidR="006F40EA" w:rsidRPr="00C547EE" w:rsidRDefault="006F40EA" w:rsidP="006F40EA">
            <w:pPr>
              <w:keepNext/>
              <w:spacing w:before="60" w:after="60"/>
              <w:jc w:val="center"/>
              <w:rPr>
                <w:rFonts w:ascii="Arial" w:hAnsi="Arial" w:cs="Arial"/>
                <w:sz w:val="18"/>
                <w:szCs w:val="18"/>
              </w:rPr>
            </w:pPr>
            <w:r w:rsidRPr="00C547EE">
              <w:rPr>
                <w:rFonts w:ascii="Arial" w:hAnsi="Arial" w:cs="Arial"/>
                <w:color w:val="000000" w:themeColor="text1"/>
                <w:sz w:val="16"/>
                <w:szCs w:val="16"/>
                <w:lang w:val="en-IE"/>
              </w:rPr>
              <w:t xml:space="preserve">ΔB (mm) </w:t>
            </w:r>
          </w:p>
        </w:tc>
        <w:tc>
          <w:tcPr>
            <w:tcW w:w="1276" w:type="dxa"/>
            <w:tcBorders>
              <w:top w:val="single" w:sz="4" w:space="0" w:color="000000"/>
              <w:left w:val="single" w:sz="4" w:space="0" w:color="000000"/>
              <w:bottom w:val="single" w:sz="12" w:space="0" w:color="000000"/>
              <w:right w:val="single" w:sz="4" w:space="0" w:color="000000"/>
            </w:tcBorders>
            <w:vAlign w:val="center"/>
          </w:tcPr>
          <w:p w14:paraId="693803F1" w14:textId="77777777" w:rsidR="006F40EA" w:rsidRPr="00882D2B" w:rsidRDefault="006F40EA" w:rsidP="006F40EA">
            <w:pPr>
              <w:keepNext/>
              <w:spacing w:before="60" w:after="60"/>
              <w:jc w:val="center"/>
              <w:rPr>
                <w:rFonts w:ascii="Arial" w:hAnsi="Arial" w:cs="Arial"/>
                <w:sz w:val="18"/>
                <w:szCs w:val="18"/>
              </w:rPr>
            </w:pPr>
            <w:r w:rsidRPr="00882D2B">
              <w:rPr>
                <w:rFonts w:ascii="Arial" w:hAnsi="Arial" w:cs="Arial"/>
                <w:color w:val="000000" w:themeColor="text1"/>
                <w:sz w:val="16"/>
                <w:szCs w:val="16"/>
                <w:lang w:val="en-IE"/>
              </w:rPr>
              <w:t>ΔB – ΔA</w:t>
            </w:r>
            <w:r w:rsidRPr="00882D2B">
              <w:rPr>
                <w:rFonts w:ascii="Arial" w:hAnsi="Arial" w:cs="Arial"/>
                <w:color w:val="000000" w:themeColor="text1"/>
                <w:sz w:val="16"/>
                <w:szCs w:val="16"/>
                <w:lang w:val="en-IE"/>
              </w:rPr>
              <w:br/>
              <w:t>(mm)</w:t>
            </w:r>
          </w:p>
        </w:tc>
        <w:tc>
          <w:tcPr>
            <w:tcW w:w="1416" w:type="dxa"/>
            <w:tcBorders>
              <w:top w:val="single" w:sz="4" w:space="0" w:color="000000"/>
              <w:left w:val="single" w:sz="4" w:space="0" w:color="000000"/>
              <w:bottom w:val="single" w:sz="12" w:space="0" w:color="000000"/>
              <w:right w:val="single" w:sz="4" w:space="0" w:color="000000"/>
            </w:tcBorders>
            <w:vAlign w:val="center"/>
          </w:tcPr>
          <w:p w14:paraId="24FC1403" w14:textId="77777777" w:rsidR="006F40EA" w:rsidRPr="00882D2B" w:rsidRDefault="006F40EA" w:rsidP="006F40EA">
            <w:pPr>
              <w:keepNext/>
              <w:spacing w:before="60" w:after="60"/>
              <w:jc w:val="center"/>
              <w:rPr>
                <w:rFonts w:ascii="Arial" w:hAnsi="Arial" w:cs="Arial"/>
                <w:sz w:val="18"/>
                <w:szCs w:val="18"/>
              </w:rPr>
            </w:pPr>
            <w:r w:rsidRPr="00882D2B">
              <w:rPr>
                <w:rFonts w:ascii="Arial" w:hAnsi="Arial" w:cs="Arial"/>
                <w:sz w:val="16"/>
                <w:szCs w:val="16"/>
              </w:rPr>
              <w:t>Interpretation of result</w:t>
            </w:r>
          </w:p>
        </w:tc>
      </w:tr>
      <w:tr w:rsidR="006F40EA" w:rsidRPr="00882D2B" w14:paraId="6374BD6F" w14:textId="77777777" w:rsidTr="00BA30CD">
        <w:tc>
          <w:tcPr>
            <w:tcW w:w="1134" w:type="dxa"/>
            <w:tcBorders>
              <w:top w:val="single" w:sz="12" w:space="0" w:color="000000"/>
              <w:left w:val="single" w:sz="4" w:space="0" w:color="000000"/>
              <w:bottom w:val="single" w:sz="4" w:space="0" w:color="000000"/>
              <w:right w:val="single" w:sz="4" w:space="0" w:color="000000"/>
            </w:tcBorders>
            <w:vAlign w:val="center"/>
          </w:tcPr>
          <w:p w14:paraId="7598B330" w14:textId="77777777" w:rsidR="006F40EA" w:rsidRPr="00882D2B" w:rsidRDefault="006F40EA" w:rsidP="006F40EA">
            <w:pPr>
              <w:keepNext/>
              <w:spacing w:before="60" w:after="60"/>
              <w:jc w:val="center"/>
              <w:rPr>
                <w:rFonts w:ascii="Arial" w:hAnsi="Arial" w:cs="Arial"/>
                <w:sz w:val="16"/>
                <w:szCs w:val="16"/>
              </w:rPr>
            </w:pPr>
            <w:r w:rsidRPr="00882D2B">
              <w:rPr>
                <w:rFonts w:ascii="Arial" w:hAnsi="Arial" w:cs="Arial"/>
                <w:color w:val="000000" w:themeColor="text1"/>
                <w:sz w:val="16"/>
                <w:szCs w:val="16"/>
                <w:lang w:val="en-IE"/>
              </w:rPr>
              <w:t xml:space="preserve">&lt; 2 </w:t>
            </w:r>
          </w:p>
        </w:tc>
        <w:tc>
          <w:tcPr>
            <w:tcW w:w="1269" w:type="dxa"/>
            <w:tcBorders>
              <w:top w:val="single" w:sz="12" w:space="0" w:color="000000"/>
              <w:left w:val="single" w:sz="4" w:space="0" w:color="000000"/>
              <w:bottom w:val="single" w:sz="4" w:space="0" w:color="000000"/>
              <w:right w:val="single" w:sz="4" w:space="0" w:color="000000"/>
            </w:tcBorders>
            <w:vAlign w:val="center"/>
          </w:tcPr>
          <w:p w14:paraId="7E1F22C2" w14:textId="77777777" w:rsidR="006F40EA" w:rsidRPr="00882D2B" w:rsidRDefault="006F40EA" w:rsidP="006F40EA">
            <w:pPr>
              <w:keepNext/>
              <w:spacing w:before="60" w:after="60"/>
              <w:jc w:val="center"/>
              <w:rPr>
                <w:rFonts w:ascii="Arial" w:hAnsi="Arial" w:cs="Arial"/>
                <w:sz w:val="16"/>
                <w:szCs w:val="16"/>
              </w:rPr>
            </w:pPr>
            <w:r w:rsidRPr="00882D2B">
              <w:rPr>
                <w:rFonts w:ascii="Arial" w:hAnsi="Arial" w:cs="Arial"/>
                <w:sz w:val="16"/>
                <w:szCs w:val="16"/>
              </w:rPr>
              <w:t>–</w:t>
            </w:r>
          </w:p>
        </w:tc>
        <w:tc>
          <w:tcPr>
            <w:tcW w:w="1159" w:type="dxa"/>
            <w:tcBorders>
              <w:top w:val="single" w:sz="12" w:space="0" w:color="000000"/>
              <w:left w:val="single" w:sz="4" w:space="0" w:color="000000"/>
              <w:bottom w:val="single" w:sz="4" w:space="0" w:color="000000"/>
              <w:right w:val="single" w:sz="4" w:space="0" w:color="000000"/>
            </w:tcBorders>
            <w:vAlign w:val="center"/>
          </w:tcPr>
          <w:p w14:paraId="0B856317" w14:textId="77777777" w:rsidR="006F40EA" w:rsidRPr="00882D2B" w:rsidRDefault="006F40EA" w:rsidP="006F40EA">
            <w:pPr>
              <w:keepNext/>
              <w:spacing w:before="60" w:after="60"/>
              <w:jc w:val="center"/>
              <w:rPr>
                <w:rFonts w:ascii="Arial" w:hAnsi="Arial" w:cs="Arial"/>
                <w:sz w:val="16"/>
                <w:szCs w:val="16"/>
              </w:rPr>
            </w:pPr>
            <w:r w:rsidRPr="00882D2B">
              <w:rPr>
                <w:rFonts w:ascii="Arial" w:hAnsi="Arial" w:cs="Arial"/>
                <w:sz w:val="16"/>
                <w:szCs w:val="16"/>
              </w:rPr>
              <w:t>Negative</w:t>
            </w:r>
          </w:p>
        </w:tc>
        <w:tc>
          <w:tcPr>
            <w:tcW w:w="921" w:type="dxa"/>
            <w:tcBorders>
              <w:top w:val="single" w:sz="12" w:space="0" w:color="000000"/>
              <w:left w:val="single" w:sz="4" w:space="0" w:color="000000"/>
              <w:right w:val="single" w:sz="4" w:space="0" w:color="000000"/>
            </w:tcBorders>
            <w:vAlign w:val="center"/>
          </w:tcPr>
          <w:p w14:paraId="17373184" w14:textId="77777777" w:rsidR="006F40EA" w:rsidRPr="00882D2B" w:rsidRDefault="006F40EA" w:rsidP="006F40EA">
            <w:pPr>
              <w:keepNext/>
              <w:spacing w:before="60" w:after="60"/>
              <w:jc w:val="center"/>
              <w:rPr>
                <w:rFonts w:ascii="Arial" w:hAnsi="Arial" w:cs="Arial"/>
                <w:sz w:val="18"/>
                <w:szCs w:val="18"/>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3B73455B" w14:textId="77777777" w:rsidR="006F40EA" w:rsidRPr="00882D2B" w:rsidRDefault="006F40EA" w:rsidP="006F40EA">
            <w:pPr>
              <w:keepNext/>
              <w:spacing w:before="60" w:after="60"/>
              <w:jc w:val="center"/>
              <w:rPr>
                <w:rFonts w:ascii="Arial" w:hAnsi="Arial" w:cs="Arial"/>
                <w:sz w:val="18"/>
                <w:szCs w:val="18"/>
              </w:rPr>
            </w:pPr>
            <w:r w:rsidRPr="00882D2B">
              <w:rPr>
                <w:rFonts w:ascii="Arial" w:hAnsi="Arial" w:cs="Arial"/>
                <w:color w:val="000000" w:themeColor="text1"/>
                <w:sz w:val="16"/>
                <w:szCs w:val="16"/>
                <w:lang w:val="en-IE"/>
              </w:rPr>
              <w:t xml:space="preserve">&lt; 2 </w:t>
            </w:r>
          </w:p>
        </w:tc>
        <w:tc>
          <w:tcPr>
            <w:tcW w:w="1276" w:type="dxa"/>
            <w:tcBorders>
              <w:top w:val="single" w:sz="12" w:space="0" w:color="000000"/>
              <w:left w:val="single" w:sz="4" w:space="0" w:color="000000"/>
              <w:bottom w:val="single" w:sz="4" w:space="0" w:color="000000"/>
              <w:right w:val="single" w:sz="4" w:space="0" w:color="000000"/>
            </w:tcBorders>
            <w:vAlign w:val="center"/>
          </w:tcPr>
          <w:p w14:paraId="50389AEF" w14:textId="77777777" w:rsidR="006F40EA" w:rsidRPr="00882D2B" w:rsidRDefault="006F40EA" w:rsidP="006F40EA">
            <w:pPr>
              <w:keepNext/>
              <w:spacing w:before="60" w:after="60"/>
              <w:jc w:val="center"/>
              <w:rPr>
                <w:rFonts w:ascii="Arial" w:hAnsi="Arial" w:cs="Arial"/>
                <w:sz w:val="18"/>
                <w:szCs w:val="18"/>
              </w:rPr>
            </w:pPr>
            <w:r w:rsidRPr="00882D2B">
              <w:rPr>
                <w:rFonts w:ascii="Arial" w:hAnsi="Arial" w:cs="Arial"/>
                <w:sz w:val="16"/>
                <w:szCs w:val="16"/>
              </w:rPr>
              <w:t>–</w:t>
            </w:r>
          </w:p>
        </w:tc>
        <w:tc>
          <w:tcPr>
            <w:tcW w:w="1416" w:type="dxa"/>
            <w:tcBorders>
              <w:top w:val="single" w:sz="12" w:space="0" w:color="000000"/>
              <w:left w:val="single" w:sz="4" w:space="0" w:color="000000"/>
              <w:bottom w:val="single" w:sz="4" w:space="0" w:color="000000"/>
              <w:right w:val="single" w:sz="4" w:space="0" w:color="000000"/>
            </w:tcBorders>
            <w:vAlign w:val="center"/>
          </w:tcPr>
          <w:p w14:paraId="269CABBA" w14:textId="77777777" w:rsidR="006F40EA" w:rsidRPr="00882D2B" w:rsidRDefault="006F40EA" w:rsidP="006F40EA">
            <w:pPr>
              <w:keepNext/>
              <w:spacing w:before="60" w:after="60"/>
              <w:jc w:val="center"/>
              <w:rPr>
                <w:rFonts w:ascii="Arial" w:hAnsi="Arial" w:cs="Arial"/>
                <w:sz w:val="18"/>
                <w:szCs w:val="18"/>
              </w:rPr>
            </w:pPr>
            <w:r w:rsidRPr="00882D2B">
              <w:rPr>
                <w:rFonts w:ascii="Arial" w:hAnsi="Arial" w:cs="Arial"/>
                <w:sz w:val="16"/>
                <w:szCs w:val="16"/>
              </w:rPr>
              <w:t>Negative</w:t>
            </w:r>
          </w:p>
        </w:tc>
      </w:tr>
      <w:tr w:rsidR="002E61E7" w:rsidRPr="00882D2B" w14:paraId="41FD4F3E" w14:textId="77777777" w:rsidTr="00BA30CD">
        <w:tc>
          <w:tcPr>
            <w:tcW w:w="1134" w:type="dxa"/>
            <w:vMerge w:val="restart"/>
            <w:tcBorders>
              <w:top w:val="single" w:sz="4" w:space="0" w:color="000000"/>
              <w:left w:val="single" w:sz="4" w:space="0" w:color="000000"/>
              <w:right w:val="single" w:sz="4" w:space="0" w:color="000000"/>
            </w:tcBorders>
            <w:shd w:val="clear" w:color="auto" w:fill="FFFF00"/>
            <w:vAlign w:val="center"/>
          </w:tcPr>
          <w:p w14:paraId="10943460" w14:textId="619CDA83" w:rsidR="002E61E7" w:rsidRPr="00882D2B" w:rsidRDefault="002E61E7" w:rsidP="00C31C3D">
            <w:pPr>
              <w:keepNext/>
              <w:spacing w:before="60" w:after="60"/>
              <w:jc w:val="center"/>
              <w:rPr>
                <w:rFonts w:ascii="Arial" w:hAnsi="Arial" w:cs="Arial"/>
                <w:sz w:val="16"/>
                <w:szCs w:val="16"/>
              </w:rPr>
            </w:pPr>
            <w:r w:rsidRPr="005B3165">
              <w:rPr>
                <w:rFonts w:ascii="Arial" w:hAnsi="Arial" w:cs="Arial"/>
                <w:sz w:val="16"/>
                <w:szCs w:val="16"/>
              </w:rPr>
              <w:t>≥ 2</w:t>
            </w:r>
          </w:p>
        </w:tc>
        <w:tc>
          <w:tcPr>
            <w:tcW w:w="1269" w:type="dxa"/>
            <w:tcBorders>
              <w:top w:val="single" w:sz="4" w:space="0" w:color="000000"/>
              <w:left w:val="single" w:sz="4" w:space="0" w:color="000000"/>
              <w:bottom w:val="single" w:sz="4" w:space="0" w:color="000000"/>
              <w:right w:val="single" w:sz="4" w:space="0" w:color="000000"/>
            </w:tcBorders>
            <w:vAlign w:val="center"/>
          </w:tcPr>
          <w:p w14:paraId="20AA13AE" w14:textId="77777777" w:rsidR="002E61E7" w:rsidRPr="00882D2B" w:rsidRDefault="002E61E7" w:rsidP="006F40EA">
            <w:pPr>
              <w:keepNext/>
              <w:spacing w:before="60" w:after="60"/>
              <w:jc w:val="center"/>
              <w:rPr>
                <w:rFonts w:ascii="Arial" w:hAnsi="Arial" w:cs="Arial"/>
                <w:sz w:val="16"/>
                <w:szCs w:val="16"/>
              </w:rPr>
            </w:pPr>
            <w:r w:rsidRPr="00882D2B">
              <w:rPr>
                <w:rFonts w:ascii="Arial" w:hAnsi="Arial" w:cs="Arial"/>
                <w:sz w:val="16"/>
                <w:szCs w:val="16"/>
              </w:rPr>
              <w:t>&lt; 0</w:t>
            </w:r>
          </w:p>
        </w:tc>
        <w:tc>
          <w:tcPr>
            <w:tcW w:w="1159" w:type="dxa"/>
            <w:tcBorders>
              <w:top w:val="single" w:sz="4" w:space="0" w:color="000000"/>
              <w:left w:val="single" w:sz="4" w:space="0" w:color="000000"/>
              <w:bottom w:val="single" w:sz="4" w:space="0" w:color="000000"/>
              <w:right w:val="single" w:sz="4" w:space="0" w:color="000000"/>
            </w:tcBorders>
            <w:vAlign w:val="center"/>
          </w:tcPr>
          <w:p w14:paraId="37C1B4A8" w14:textId="77777777" w:rsidR="002E61E7" w:rsidRPr="00882D2B" w:rsidRDefault="002E61E7" w:rsidP="006F40EA">
            <w:pPr>
              <w:keepNext/>
              <w:spacing w:before="60" w:after="60"/>
              <w:jc w:val="center"/>
              <w:rPr>
                <w:rFonts w:ascii="Arial" w:hAnsi="Arial" w:cs="Arial"/>
                <w:sz w:val="16"/>
                <w:szCs w:val="16"/>
              </w:rPr>
            </w:pPr>
            <w:r w:rsidRPr="00882D2B">
              <w:rPr>
                <w:rFonts w:ascii="Arial" w:hAnsi="Arial" w:cs="Arial"/>
                <w:sz w:val="16"/>
                <w:szCs w:val="16"/>
              </w:rPr>
              <w:t>Negative</w:t>
            </w:r>
          </w:p>
        </w:tc>
        <w:tc>
          <w:tcPr>
            <w:tcW w:w="921" w:type="dxa"/>
            <w:tcBorders>
              <w:left w:val="single" w:sz="4" w:space="0" w:color="000000"/>
              <w:right w:val="single" w:sz="4" w:space="0" w:color="000000"/>
            </w:tcBorders>
            <w:vAlign w:val="center"/>
          </w:tcPr>
          <w:p w14:paraId="1D3C5E96" w14:textId="77777777" w:rsidR="002E61E7" w:rsidRPr="00882D2B" w:rsidRDefault="002E61E7" w:rsidP="006F40EA">
            <w:pPr>
              <w:keepNext/>
              <w:spacing w:before="60" w:after="60"/>
              <w:jc w:val="center"/>
              <w:rPr>
                <w:rFonts w:ascii="Arial" w:hAnsi="Arial" w:cs="Arial"/>
                <w:sz w:val="18"/>
                <w:szCs w:val="18"/>
              </w:rPr>
            </w:pPr>
          </w:p>
        </w:tc>
        <w:tc>
          <w:tcPr>
            <w:tcW w:w="1187" w:type="dxa"/>
            <w:vMerge w:val="restart"/>
            <w:tcBorders>
              <w:top w:val="single" w:sz="4" w:space="0" w:color="000000"/>
              <w:left w:val="single" w:sz="4" w:space="0" w:color="000000"/>
              <w:right w:val="single" w:sz="4" w:space="0" w:color="000000"/>
            </w:tcBorders>
            <w:shd w:val="clear" w:color="auto" w:fill="FFFF00"/>
            <w:vAlign w:val="center"/>
          </w:tcPr>
          <w:p w14:paraId="300553E5" w14:textId="7A6B7657" w:rsidR="002E61E7" w:rsidRPr="00882D2B" w:rsidRDefault="002E61E7" w:rsidP="00C31C3D">
            <w:pPr>
              <w:keepNext/>
              <w:spacing w:before="60" w:after="60"/>
              <w:jc w:val="center"/>
              <w:rPr>
                <w:rFonts w:ascii="Arial" w:hAnsi="Arial" w:cs="Arial"/>
                <w:sz w:val="18"/>
                <w:szCs w:val="18"/>
              </w:rPr>
            </w:pPr>
            <w:r w:rsidRPr="005B3165">
              <w:rPr>
                <w:rFonts w:ascii="Arial" w:hAnsi="Arial" w:cs="Arial"/>
                <w:sz w:val="16"/>
                <w:szCs w:val="16"/>
              </w:rPr>
              <w:t>≥ 2</w:t>
            </w:r>
          </w:p>
        </w:tc>
        <w:tc>
          <w:tcPr>
            <w:tcW w:w="1276" w:type="dxa"/>
            <w:tcBorders>
              <w:top w:val="single" w:sz="4" w:space="0" w:color="000000"/>
              <w:left w:val="single" w:sz="4" w:space="0" w:color="000000"/>
              <w:bottom w:val="single" w:sz="4" w:space="0" w:color="000000"/>
              <w:right w:val="single" w:sz="4" w:space="0" w:color="000000"/>
            </w:tcBorders>
            <w:vAlign w:val="center"/>
          </w:tcPr>
          <w:p w14:paraId="577042E5" w14:textId="77777777" w:rsidR="002E61E7" w:rsidRPr="00882D2B" w:rsidRDefault="002E61E7" w:rsidP="006F40EA">
            <w:pPr>
              <w:keepNext/>
              <w:spacing w:before="60" w:after="60"/>
              <w:jc w:val="center"/>
              <w:rPr>
                <w:rFonts w:ascii="Arial" w:hAnsi="Arial" w:cs="Arial"/>
                <w:sz w:val="18"/>
                <w:szCs w:val="18"/>
              </w:rPr>
            </w:pPr>
            <w:r w:rsidRPr="00882D2B">
              <w:rPr>
                <w:rFonts w:ascii="Arial" w:hAnsi="Arial" w:cs="Arial"/>
                <w:sz w:val="16"/>
                <w:szCs w:val="16"/>
              </w:rPr>
              <w:t>&lt; 0</w:t>
            </w:r>
          </w:p>
        </w:tc>
        <w:tc>
          <w:tcPr>
            <w:tcW w:w="1416" w:type="dxa"/>
            <w:tcBorders>
              <w:top w:val="single" w:sz="4" w:space="0" w:color="000000"/>
              <w:left w:val="single" w:sz="4" w:space="0" w:color="000000"/>
              <w:bottom w:val="single" w:sz="4" w:space="0" w:color="000000"/>
              <w:right w:val="single" w:sz="4" w:space="0" w:color="000000"/>
            </w:tcBorders>
            <w:vAlign w:val="center"/>
          </w:tcPr>
          <w:p w14:paraId="08C328B5" w14:textId="77777777" w:rsidR="002E61E7" w:rsidRPr="00882D2B" w:rsidRDefault="002E61E7" w:rsidP="006F40EA">
            <w:pPr>
              <w:keepNext/>
              <w:spacing w:before="60" w:after="60"/>
              <w:jc w:val="center"/>
              <w:rPr>
                <w:rFonts w:ascii="Arial" w:hAnsi="Arial" w:cs="Arial"/>
                <w:sz w:val="18"/>
                <w:szCs w:val="18"/>
              </w:rPr>
            </w:pPr>
            <w:r w:rsidRPr="00882D2B">
              <w:rPr>
                <w:rFonts w:ascii="Arial" w:hAnsi="Arial" w:cs="Arial"/>
                <w:sz w:val="16"/>
                <w:szCs w:val="16"/>
              </w:rPr>
              <w:t>Negative</w:t>
            </w:r>
          </w:p>
        </w:tc>
      </w:tr>
      <w:tr w:rsidR="002E61E7" w:rsidRPr="00882D2B" w14:paraId="591A9D27" w14:textId="77777777" w:rsidTr="00BA30CD">
        <w:tc>
          <w:tcPr>
            <w:tcW w:w="1134" w:type="dxa"/>
            <w:vMerge/>
            <w:tcBorders>
              <w:left w:val="single" w:sz="4" w:space="0" w:color="000000"/>
              <w:right w:val="single" w:sz="4" w:space="0" w:color="000000"/>
            </w:tcBorders>
            <w:shd w:val="clear" w:color="auto" w:fill="FFFF00"/>
            <w:vAlign w:val="center"/>
          </w:tcPr>
          <w:p w14:paraId="2DD5CCCD" w14:textId="65A40D3D" w:rsidR="002E61E7" w:rsidRPr="005B3165" w:rsidRDefault="002E61E7" w:rsidP="006F40EA">
            <w:pPr>
              <w:keepNext/>
              <w:spacing w:before="60" w:after="60"/>
              <w:jc w:val="center"/>
              <w:rPr>
                <w:rFonts w:ascii="Arial" w:hAnsi="Arial" w:cs="Arial"/>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E1E8EB0" w14:textId="2576872C" w:rsidR="002E61E7" w:rsidRPr="00882D2B" w:rsidRDefault="002E61E7" w:rsidP="006F40EA">
            <w:pPr>
              <w:keepNext/>
              <w:spacing w:before="60" w:after="60"/>
              <w:jc w:val="center"/>
              <w:rPr>
                <w:rFonts w:ascii="Arial" w:hAnsi="Arial" w:cs="Arial"/>
                <w:sz w:val="16"/>
                <w:szCs w:val="16"/>
              </w:rPr>
            </w:pPr>
            <w:r w:rsidRPr="00882D2B">
              <w:rPr>
                <w:rFonts w:ascii="Arial" w:hAnsi="Arial" w:cs="Arial"/>
                <w:sz w:val="16"/>
                <w:szCs w:val="16"/>
              </w:rPr>
              <w:t xml:space="preserve">≥ 0 and </w:t>
            </w:r>
            <w:r w:rsidRPr="00BA30CD">
              <w:rPr>
                <w:rFonts w:ascii="Arial" w:hAnsi="Arial" w:cs="Arial"/>
                <w:strike/>
                <w:sz w:val="16"/>
                <w:szCs w:val="16"/>
              </w:rPr>
              <w:t>≤</w:t>
            </w:r>
            <w:r w:rsidR="00BA30CD" w:rsidRPr="00BA30CD">
              <w:rPr>
                <w:rFonts w:ascii="Arial" w:hAnsi="Arial" w:cs="Arial"/>
                <w:strike/>
                <w:sz w:val="16"/>
                <w:szCs w:val="16"/>
              </w:rPr>
              <w:t xml:space="preserve"> </w:t>
            </w:r>
            <w:r w:rsidR="00DB77F5" w:rsidRPr="00BA30CD">
              <w:rPr>
                <w:rFonts w:ascii="Arial" w:hAnsi="Arial" w:cs="Arial"/>
                <w:sz w:val="16"/>
                <w:szCs w:val="16"/>
                <w:u w:val="double"/>
              </w:rPr>
              <w:t>&lt;</w:t>
            </w:r>
            <w:r w:rsidRPr="00882D2B">
              <w:rPr>
                <w:rFonts w:ascii="Arial" w:hAnsi="Arial" w:cs="Arial"/>
                <w:sz w:val="16"/>
                <w:szCs w:val="16"/>
              </w:rPr>
              <w:t xml:space="preserve"> 4</w:t>
            </w:r>
          </w:p>
        </w:tc>
        <w:tc>
          <w:tcPr>
            <w:tcW w:w="1159" w:type="dxa"/>
            <w:tcBorders>
              <w:top w:val="single" w:sz="4" w:space="0" w:color="000000"/>
              <w:left w:val="single" w:sz="4" w:space="0" w:color="000000"/>
              <w:bottom w:val="single" w:sz="4" w:space="0" w:color="000000"/>
              <w:right w:val="single" w:sz="4" w:space="0" w:color="000000"/>
            </w:tcBorders>
            <w:vAlign w:val="center"/>
          </w:tcPr>
          <w:p w14:paraId="7554FB4F" w14:textId="77777777" w:rsidR="002E61E7" w:rsidRPr="00882D2B" w:rsidRDefault="002E61E7" w:rsidP="006F40EA">
            <w:pPr>
              <w:keepNext/>
              <w:spacing w:before="60" w:after="60"/>
              <w:jc w:val="center"/>
              <w:rPr>
                <w:rFonts w:ascii="Arial" w:hAnsi="Arial" w:cs="Arial"/>
                <w:sz w:val="16"/>
                <w:szCs w:val="16"/>
              </w:rPr>
            </w:pPr>
            <w:r w:rsidRPr="00882D2B">
              <w:rPr>
                <w:rFonts w:ascii="Arial" w:hAnsi="Arial" w:cs="Arial"/>
                <w:sz w:val="16"/>
                <w:szCs w:val="16"/>
              </w:rPr>
              <w:t>Inconclusive</w:t>
            </w:r>
          </w:p>
        </w:tc>
        <w:tc>
          <w:tcPr>
            <w:tcW w:w="921" w:type="dxa"/>
            <w:tcBorders>
              <w:left w:val="single" w:sz="4" w:space="0" w:color="000000"/>
              <w:right w:val="single" w:sz="4" w:space="0" w:color="000000"/>
            </w:tcBorders>
            <w:vAlign w:val="center"/>
          </w:tcPr>
          <w:p w14:paraId="5839EBD3" w14:textId="77777777" w:rsidR="002E61E7" w:rsidRPr="00882D2B" w:rsidRDefault="002E61E7" w:rsidP="006F40EA">
            <w:pPr>
              <w:keepNext/>
              <w:spacing w:before="60" w:after="60"/>
              <w:jc w:val="center"/>
              <w:rPr>
                <w:rFonts w:ascii="Arial" w:hAnsi="Arial" w:cs="Arial"/>
                <w:sz w:val="18"/>
                <w:szCs w:val="18"/>
              </w:rPr>
            </w:pPr>
            <w:r w:rsidRPr="00882D2B">
              <w:rPr>
                <w:rFonts w:ascii="Arial" w:hAnsi="Arial" w:cs="Arial"/>
                <w:noProof/>
                <w:sz w:val="18"/>
                <w:szCs w:val="18"/>
                <w:lang w:val="es-ES" w:eastAsia="es-ES"/>
              </w:rPr>
              <mc:AlternateContent>
                <mc:Choice Requires="wps">
                  <w:drawing>
                    <wp:anchor distT="0" distB="0" distL="114300" distR="114300" simplePos="0" relativeHeight="251658241" behindDoc="0" locked="0" layoutInCell="1" allowOverlap="1" wp14:anchorId="3CC5673B" wp14:editId="7C160A23">
                      <wp:simplePos x="0" y="0"/>
                      <wp:positionH relativeFrom="column">
                        <wp:posOffset>59690</wp:posOffset>
                      </wp:positionH>
                      <wp:positionV relativeFrom="paragraph">
                        <wp:posOffset>12065</wp:posOffset>
                      </wp:positionV>
                      <wp:extent cx="358140" cy="200025"/>
                      <wp:effectExtent l="0" t="19050" r="41910" b="47625"/>
                      <wp:wrapNone/>
                      <wp:docPr id="1" name="Flèche : droite 1"/>
                      <wp:cNvGraphicFramePr/>
                      <a:graphic xmlns:a="http://schemas.openxmlformats.org/drawingml/2006/main">
                        <a:graphicData uri="http://schemas.microsoft.com/office/word/2010/wordprocessingShape">
                          <wps:wsp>
                            <wps:cNvSpPr/>
                            <wps:spPr>
                              <a:xfrm>
                                <a:off x="0" y="0"/>
                                <a:ext cx="35814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2F9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4.7pt;margin-top:.95pt;width:28.2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" adj="15568" fillcolor="#4f81bd [3204]" strokecolor="#243f60 [1604]" strokeweight="2pt"/>
                  </w:pict>
                </mc:Fallback>
              </mc:AlternateContent>
            </w:r>
          </w:p>
        </w:tc>
        <w:tc>
          <w:tcPr>
            <w:tcW w:w="1187" w:type="dxa"/>
            <w:vMerge/>
            <w:tcBorders>
              <w:left w:val="single" w:sz="4" w:space="0" w:color="000000"/>
              <w:right w:val="single" w:sz="4" w:space="0" w:color="000000"/>
            </w:tcBorders>
            <w:shd w:val="clear" w:color="auto" w:fill="FFFF00"/>
            <w:vAlign w:val="center"/>
          </w:tcPr>
          <w:p w14:paraId="4118EDAC" w14:textId="654A9CBA" w:rsidR="002E61E7" w:rsidRPr="005B3165" w:rsidRDefault="002E61E7" w:rsidP="006F40EA">
            <w:pPr>
              <w:keepNext/>
              <w:spacing w:before="60" w:after="60"/>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462A829" w14:textId="7B71716C" w:rsidR="002E61E7" w:rsidRPr="00882D2B" w:rsidRDefault="002E61E7" w:rsidP="006F40EA">
            <w:pPr>
              <w:keepNext/>
              <w:spacing w:before="60" w:after="60"/>
              <w:jc w:val="center"/>
              <w:rPr>
                <w:rFonts w:ascii="Arial" w:hAnsi="Arial" w:cs="Arial"/>
                <w:sz w:val="18"/>
                <w:szCs w:val="18"/>
              </w:rPr>
            </w:pPr>
            <w:r w:rsidRPr="00882D2B">
              <w:rPr>
                <w:rFonts w:ascii="Arial" w:hAnsi="Arial" w:cs="Arial"/>
                <w:sz w:val="16"/>
                <w:szCs w:val="16"/>
              </w:rPr>
              <w:t xml:space="preserve">≥ 0 and </w:t>
            </w:r>
            <w:r w:rsidR="00BA30CD" w:rsidRPr="00BA30CD">
              <w:rPr>
                <w:rFonts w:ascii="Arial" w:hAnsi="Arial" w:cs="Arial"/>
                <w:strike/>
                <w:sz w:val="16"/>
                <w:szCs w:val="16"/>
              </w:rPr>
              <w:t xml:space="preserve">≤ </w:t>
            </w:r>
            <w:r w:rsidR="00BA30CD" w:rsidRPr="00BA30CD">
              <w:rPr>
                <w:rFonts w:ascii="Arial" w:hAnsi="Arial" w:cs="Arial"/>
                <w:sz w:val="16"/>
                <w:szCs w:val="16"/>
                <w:u w:val="double"/>
              </w:rPr>
              <w:t>&lt;</w:t>
            </w:r>
            <w:r w:rsidR="00BA30CD" w:rsidRPr="00882D2B">
              <w:rPr>
                <w:rFonts w:ascii="Arial" w:hAnsi="Arial" w:cs="Arial"/>
                <w:sz w:val="16"/>
                <w:szCs w:val="16"/>
              </w:rPr>
              <w:t xml:space="preserve"> </w:t>
            </w:r>
            <w:r w:rsidRPr="00882D2B">
              <w:rPr>
                <w:rFonts w:ascii="Arial" w:hAnsi="Arial" w:cs="Arial"/>
                <w:sz w:val="16"/>
                <w:szCs w:val="16"/>
              </w:rPr>
              <w:t>4</w:t>
            </w:r>
          </w:p>
        </w:tc>
        <w:tc>
          <w:tcPr>
            <w:tcW w:w="1416" w:type="dxa"/>
            <w:tcBorders>
              <w:top w:val="single" w:sz="4" w:space="0" w:color="000000"/>
              <w:left w:val="single" w:sz="4" w:space="0" w:color="000000"/>
              <w:bottom w:val="single" w:sz="4" w:space="0" w:color="000000"/>
              <w:right w:val="single" w:sz="4" w:space="0" w:color="000000"/>
            </w:tcBorders>
            <w:vAlign w:val="center"/>
          </w:tcPr>
          <w:p w14:paraId="07DA3472" w14:textId="77777777" w:rsidR="002E61E7" w:rsidRPr="00882D2B" w:rsidRDefault="002E61E7" w:rsidP="006F40EA">
            <w:pPr>
              <w:keepNext/>
              <w:spacing w:before="60" w:after="60"/>
              <w:jc w:val="center"/>
              <w:rPr>
                <w:rFonts w:ascii="Arial" w:hAnsi="Arial" w:cs="Arial"/>
                <w:sz w:val="18"/>
                <w:szCs w:val="18"/>
              </w:rPr>
            </w:pPr>
            <w:r w:rsidRPr="00882D2B">
              <w:rPr>
                <w:rFonts w:ascii="Arial" w:hAnsi="Arial" w:cs="Arial"/>
                <w:sz w:val="16"/>
                <w:szCs w:val="16"/>
              </w:rPr>
              <w:t>Positive</w:t>
            </w:r>
          </w:p>
        </w:tc>
      </w:tr>
      <w:tr w:rsidR="002E61E7" w:rsidRPr="00882D2B" w14:paraId="03C8788D" w14:textId="77777777" w:rsidTr="00BA30CD">
        <w:tc>
          <w:tcPr>
            <w:tcW w:w="1134" w:type="dxa"/>
            <w:vMerge/>
            <w:tcBorders>
              <w:left w:val="single" w:sz="4" w:space="0" w:color="000000"/>
              <w:bottom w:val="single" w:sz="4" w:space="0" w:color="000000"/>
              <w:right w:val="single" w:sz="4" w:space="0" w:color="000000"/>
            </w:tcBorders>
            <w:shd w:val="clear" w:color="auto" w:fill="FFFF00"/>
            <w:vAlign w:val="center"/>
          </w:tcPr>
          <w:p w14:paraId="6D0BD3A8" w14:textId="77777777" w:rsidR="002E61E7" w:rsidRPr="00882D2B" w:rsidRDefault="002E61E7" w:rsidP="006F40EA">
            <w:pPr>
              <w:spacing w:before="60" w:after="60"/>
              <w:jc w:val="center"/>
              <w:rPr>
                <w:rFonts w:ascii="Arial" w:hAnsi="Arial" w:cs="Arial"/>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9C3C2D9" w14:textId="6400C2F2" w:rsidR="002E61E7" w:rsidRPr="00882D2B" w:rsidRDefault="002E61E7" w:rsidP="006F40EA">
            <w:pPr>
              <w:spacing w:before="60" w:after="60"/>
              <w:jc w:val="center"/>
              <w:rPr>
                <w:rFonts w:ascii="Arial" w:hAnsi="Arial" w:cs="Arial"/>
                <w:sz w:val="16"/>
                <w:szCs w:val="16"/>
              </w:rPr>
            </w:pPr>
            <w:r w:rsidRPr="00BA30CD">
              <w:rPr>
                <w:rFonts w:ascii="Arial" w:hAnsi="Arial" w:cs="Arial"/>
                <w:strike/>
                <w:sz w:val="16"/>
                <w:szCs w:val="16"/>
              </w:rPr>
              <w:t>&gt;</w:t>
            </w:r>
            <w:r w:rsidR="00BA30CD" w:rsidRPr="00BA30CD">
              <w:rPr>
                <w:rFonts w:ascii="Arial" w:hAnsi="Arial" w:cs="Arial"/>
                <w:strike/>
                <w:sz w:val="16"/>
                <w:szCs w:val="16"/>
              </w:rPr>
              <w:t xml:space="preserve"> </w:t>
            </w:r>
            <w:r w:rsidR="00DB77F5" w:rsidRPr="00BA30CD">
              <w:rPr>
                <w:rFonts w:ascii="Arial" w:hAnsi="Arial" w:cs="Arial"/>
                <w:sz w:val="16"/>
                <w:szCs w:val="16"/>
                <w:u w:val="double"/>
              </w:rPr>
              <w:t>≥</w:t>
            </w:r>
            <w:r w:rsidR="00DB77F5">
              <w:rPr>
                <w:rFonts w:ascii="Arial" w:hAnsi="Arial" w:cs="Arial"/>
                <w:sz w:val="16"/>
                <w:szCs w:val="16"/>
              </w:rPr>
              <w:t xml:space="preserve"> </w:t>
            </w:r>
            <w:r w:rsidRPr="00882D2B">
              <w:rPr>
                <w:rFonts w:ascii="Arial" w:hAnsi="Arial" w:cs="Arial"/>
                <w:sz w:val="16"/>
                <w:szCs w:val="16"/>
              </w:rPr>
              <w:t>4</w:t>
            </w:r>
          </w:p>
        </w:tc>
        <w:tc>
          <w:tcPr>
            <w:tcW w:w="1159" w:type="dxa"/>
            <w:tcBorders>
              <w:top w:val="single" w:sz="4" w:space="0" w:color="000000"/>
              <w:left w:val="single" w:sz="4" w:space="0" w:color="000000"/>
              <w:bottom w:val="single" w:sz="4" w:space="0" w:color="000000"/>
              <w:right w:val="single" w:sz="4" w:space="0" w:color="000000"/>
            </w:tcBorders>
            <w:vAlign w:val="center"/>
          </w:tcPr>
          <w:p w14:paraId="6616F18C" w14:textId="77777777" w:rsidR="002E61E7" w:rsidRPr="00882D2B" w:rsidRDefault="002E61E7" w:rsidP="006F40EA">
            <w:pPr>
              <w:spacing w:before="60" w:after="60"/>
              <w:jc w:val="center"/>
              <w:rPr>
                <w:rFonts w:ascii="Arial" w:hAnsi="Arial" w:cs="Arial"/>
                <w:sz w:val="16"/>
                <w:szCs w:val="16"/>
              </w:rPr>
            </w:pPr>
            <w:r w:rsidRPr="00882D2B">
              <w:rPr>
                <w:rFonts w:ascii="Arial" w:hAnsi="Arial" w:cs="Arial"/>
                <w:sz w:val="16"/>
                <w:szCs w:val="16"/>
              </w:rPr>
              <w:t>Positive</w:t>
            </w:r>
          </w:p>
        </w:tc>
        <w:tc>
          <w:tcPr>
            <w:tcW w:w="921" w:type="dxa"/>
            <w:tcBorders>
              <w:left w:val="single" w:sz="4" w:space="0" w:color="000000"/>
              <w:right w:val="single" w:sz="4" w:space="0" w:color="000000"/>
            </w:tcBorders>
            <w:vAlign w:val="center"/>
          </w:tcPr>
          <w:p w14:paraId="193D654C" w14:textId="77777777" w:rsidR="002E61E7" w:rsidRPr="00882D2B" w:rsidRDefault="002E61E7" w:rsidP="006F40EA">
            <w:pPr>
              <w:spacing w:before="60" w:after="60"/>
              <w:jc w:val="center"/>
              <w:rPr>
                <w:rFonts w:ascii="Arial" w:hAnsi="Arial" w:cs="Arial"/>
                <w:sz w:val="18"/>
                <w:szCs w:val="18"/>
              </w:rPr>
            </w:pPr>
          </w:p>
        </w:tc>
        <w:tc>
          <w:tcPr>
            <w:tcW w:w="1187" w:type="dxa"/>
            <w:vMerge/>
            <w:tcBorders>
              <w:left w:val="single" w:sz="4" w:space="0" w:color="000000"/>
              <w:bottom w:val="single" w:sz="4" w:space="0" w:color="000000"/>
              <w:right w:val="single" w:sz="4" w:space="0" w:color="000000"/>
            </w:tcBorders>
            <w:shd w:val="clear" w:color="auto" w:fill="FFFF00"/>
            <w:vAlign w:val="center"/>
          </w:tcPr>
          <w:p w14:paraId="6363DB7D" w14:textId="77777777" w:rsidR="002E61E7" w:rsidRPr="00882D2B" w:rsidRDefault="002E61E7" w:rsidP="006F40EA">
            <w:pPr>
              <w:spacing w:before="60" w:after="60"/>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8E8442C" w14:textId="0042C27A" w:rsidR="002E61E7" w:rsidRPr="00882D2B" w:rsidRDefault="00BA30CD" w:rsidP="006F40EA">
            <w:pPr>
              <w:spacing w:before="60" w:after="60"/>
              <w:jc w:val="center"/>
              <w:rPr>
                <w:rFonts w:ascii="Arial" w:hAnsi="Arial" w:cs="Arial"/>
                <w:sz w:val="18"/>
                <w:szCs w:val="18"/>
              </w:rPr>
            </w:pPr>
            <w:r w:rsidRPr="00BA30CD">
              <w:rPr>
                <w:rFonts w:ascii="Arial" w:hAnsi="Arial" w:cs="Arial"/>
                <w:strike/>
                <w:sz w:val="16"/>
                <w:szCs w:val="16"/>
              </w:rPr>
              <w:t xml:space="preserve">&gt; </w:t>
            </w:r>
            <w:r w:rsidRPr="00BA30CD">
              <w:rPr>
                <w:rFonts w:ascii="Arial" w:hAnsi="Arial" w:cs="Arial"/>
                <w:sz w:val="16"/>
                <w:szCs w:val="16"/>
                <w:u w:val="double"/>
              </w:rPr>
              <w:t>≥</w:t>
            </w:r>
            <w:r>
              <w:rPr>
                <w:rFonts w:ascii="Arial" w:hAnsi="Arial" w:cs="Arial"/>
                <w:sz w:val="16"/>
                <w:szCs w:val="16"/>
              </w:rPr>
              <w:t xml:space="preserve"> </w:t>
            </w:r>
            <w:r w:rsidR="002E61E7" w:rsidRPr="00882D2B">
              <w:rPr>
                <w:rFonts w:ascii="Arial" w:hAnsi="Arial" w:cs="Arial"/>
                <w:sz w:val="16"/>
                <w:szCs w:val="16"/>
              </w:rPr>
              <w:t>4</w:t>
            </w:r>
          </w:p>
        </w:tc>
        <w:tc>
          <w:tcPr>
            <w:tcW w:w="1416" w:type="dxa"/>
            <w:tcBorders>
              <w:top w:val="single" w:sz="4" w:space="0" w:color="000000"/>
              <w:left w:val="single" w:sz="4" w:space="0" w:color="000000"/>
              <w:bottom w:val="single" w:sz="4" w:space="0" w:color="000000"/>
              <w:right w:val="single" w:sz="4" w:space="0" w:color="000000"/>
            </w:tcBorders>
            <w:vAlign w:val="center"/>
          </w:tcPr>
          <w:p w14:paraId="518C05D4" w14:textId="77777777" w:rsidR="002E61E7" w:rsidRPr="00882D2B" w:rsidRDefault="002E61E7" w:rsidP="006F40EA">
            <w:pPr>
              <w:spacing w:before="60" w:after="60"/>
              <w:jc w:val="center"/>
              <w:rPr>
                <w:rFonts w:ascii="Arial" w:hAnsi="Arial" w:cs="Arial"/>
                <w:sz w:val="18"/>
                <w:szCs w:val="18"/>
              </w:rPr>
            </w:pPr>
            <w:r w:rsidRPr="00882D2B">
              <w:rPr>
                <w:rFonts w:ascii="Arial" w:hAnsi="Arial" w:cs="Arial"/>
                <w:sz w:val="16"/>
                <w:szCs w:val="16"/>
              </w:rPr>
              <w:t>Positive</w:t>
            </w:r>
          </w:p>
        </w:tc>
      </w:tr>
    </w:tbl>
    <w:p w14:paraId="2281C6B8" w14:textId="59D4F3E8" w:rsidR="009A21F0" w:rsidRPr="00882D2B" w:rsidRDefault="009A21F0" w:rsidP="00BA30CD">
      <w:pPr>
        <w:pStyle w:val="afourthlevel"/>
        <w:spacing w:before="240"/>
        <w:rPr>
          <w:lang w:val="en-IE"/>
        </w:rPr>
      </w:pPr>
      <w:r w:rsidRPr="00882D2B">
        <w:rPr>
          <w:lang w:val="en-IE"/>
        </w:rPr>
        <w:t>2.2.2.3. The caudal fold test (CFT)</w:t>
      </w:r>
    </w:p>
    <w:p w14:paraId="67B13D02" w14:textId="21953AFC" w:rsidR="009A21F0" w:rsidRPr="00882D2B" w:rsidRDefault="009A21F0" w:rsidP="00A45C13">
      <w:pPr>
        <w:pStyle w:val="afourthpara"/>
        <w:spacing w:after="200"/>
        <w:rPr>
          <w:lang w:val="en-IE" w:eastAsia="nl-NL"/>
        </w:rPr>
      </w:pPr>
      <w:r w:rsidRPr="00882D2B">
        <w:rPr>
          <w:lang w:val="en-IE" w:eastAsia="nl-NL"/>
        </w:rPr>
        <w:t xml:space="preserve">The </w:t>
      </w:r>
      <w:r w:rsidRPr="00882D2B">
        <w:rPr>
          <w:lang w:val="en-IE"/>
        </w:rPr>
        <w:t>standard</w:t>
      </w:r>
      <w:r w:rsidRPr="00882D2B">
        <w:rPr>
          <w:lang w:val="en-IE" w:eastAsia="nl-NL"/>
        </w:rPr>
        <w:t xml:space="preserve"> interpretation is that any swelling, sensitivity, or increase in skin thickness is considered to be a positive response to the bovine tuberculin.</w:t>
      </w:r>
      <w:r w:rsidR="00C31882">
        <w:rPr>
          <w:lang w:val="en-IE" w:eastAsia="nl-NL"/>
        </w:rPr>
        <w:t xml:space="preserve"> This interpretation may vary according to local regulations, for example in some countries an increase of </w:t>
      </w:r>
      <w:r w:rsidR="00053A0F" w:rsidRPr="00FA476A">
        <w:rPr>
          <w:u w:val="single"/>
          <w:lang w:val="en-IE" w:eastAsia="nl-NL"/>
        </w:rPr>
        <w:t>&gt;</w:t>
      </w:r>
      <w:r w:rsidR="00C31882">
        <w:rPr>
          <w:lang w:val="en-IE" w:eastAsia="nl-NL"/>
        </w:rPr>
        <w:t>3mm may be used as the cut</w:t>
      </w:r>
      <w:r w:rsidR="00A45C13">
        <w:rPr>
          <w:lang w:val="en-IE" w:eastAsia="nl-NL"/>
        </w:rPr>
        <w:t>-</w:t>
      </w:r>
      <w:r w:rsidR="00C31882">
        <w:rPr>
          <w:lang w:val="en-IE" w:eastAsia="nl-NL"/>
        </w:rPr>
        <w:t>off</w:t>
      </w:r>
      <w:r w:rsidR="00053A0F">
        <w:rPr>
          <w:lang w:val="en-IE" w:eastAsia="nl-NL"/>
        </w:rPr>
        <w:t xml:space="preserve"> for positive reactions.</w:t>
      </w:r>
      <w:r w:rsidRPr="00882D2B">
        <w:rPr>
          <w:lang w:val="en-IE" w:eastAsia="nl-NL"/>
        </w:rPr>
        <w:t xml:space="preserve"> The size of responses may vary and are not indicative of infectious status. Responses may be small, hard, pea-sized responses, diffuse responses, circumscribed responses, or large responses. If there is doubt about whether a response has occurred, the opposite side of the tail may be palpated to determine if there is a change from normal. Any observed change should be recorded. Test observation without palpation is unacceptable. </w:t>
      </w:r>
    </w:p>
    <w:p w14:paraId="0148D6A1" w14:textId="157E7076" w:rsidR="009A21F0" w:rsidRPr="00882D2B" w:rsidRDefault="009A21F0" w:rsidP="00A45C13">
      <w:pPr>
        <w:pStyle w:val="afourthpara"/>
        <w:spacing w:after="200"/>
        <w:rPr>
          <w:b/>
          <w:bCs/>
          <w:lang w:val="en-IE" w:eastAsia="nl-NL"/>
        </w:rPr>
      </w:pPr>
      <w:r w:rsidRPr="00882D2B">
        <w:rPr>
          <w:color w:val="000000" w:themeColor="text1"/>
          <w:lang w:val="en-IE"/>
        </w:rPr>
        <w:t xml:space="preserve">As is the case with the SIT, the use of the CFT as a screening test may result in false reactors to the test. </w:t>
      </w:r>
      <w:r w:rsidRPr="00882D2B">
        <w:rPr>
          <w:lang w:val="en-IE" w:eastAsia="nl-NL"/>
        </w:rPr>
        <w:t>Positive reactors to the CFT require secondary testing by using the CCT which must be performed within 10 days of the initial test, or else after 60 days.</w:t>
      </w:r>
    </w:p>
    <w:p w14:paraId="2DB1D28D" w14:textId="3F0487F2" w:rsidR="001920AE" w:rsidRPr="00882D2B" w:rsidRDefault="00854F27" w:rsidP="001920AE">
      <w:pPr>
        <w:pStyle w:val="111"/>
        <w:spacing w:before="240"/>
      </w:pPr>
      <w:r w:rsidRPr="00882D2B">
        <w:t xml:space="preserve">2.2.3. </w:t>
      </w:r>
      <w:r w:rsidRPr="00882D2B">
        <w:tab/>
        <w:t>Interpretation of test results in cervids</w:t>
      </w:r>
    </w:p>
    <w:p w14:paraId="0F2E2A45" w14:textId="3F08CA7D" w:rsidR="00854F27" w:rsidRPr="00882D2B" w:rsidRDefault="00854F27" w:rsidP="00A45C13">
      <w:pPr>
        <w:pStyle w:val="111Para"/>
        <w:spacing w:after="200"/>
        <w:rPr>
          <w:b/>
          <w:lang w:val="en-IE"/>
        </w:rPr>
      </w:pPr>
      <w:r w:rsidRPr="00882D2B">
        <w:rPr>
          <w:rFonts w:eastAsiaTheme="minorHAnsi"/>
          <w:lang w:val="en-IE" w:eastAsia="nl-NL"/>
        </w:rPr>
        <w:t>For cervid species (elk, reindeer, red deer, white tailed deer, sika, and others) only the mid</w:t>
      </w:r>
      <w:r w:rsidR="00601BB0" w:rsidRPr="00882D2B">
        <w:rPr>
          <w:rFonts w:eastAsiaTheme="minorHAnsi"/>
          <w:lang w:val="en-IE" w:eastAsia="nl-NL"/>
        </w:rPr>
        <w:t>-</w:t>
      </w:r>
      <w:r w:rsidRPr="00882D2B">
        <w:rPr>
          <w:rFonts w:eastAsiaTheme="minorHAnsi"/>
          <w:lang w:val="en-IE" w:eastAsia="nl-NL"/>
        </w:rPr>
        <w:t xml:space="preserve">cervical test </w:t>
      </w:r>
      <w:r w:rsidRPr="00882D2B">
        <w:rPr>
          <w:lang w:val="en-IE" w:eastAsia="nl-NL"/>
        </w:rPr>
        <w:t>is</w:t>
      </w:r>
      <w:r w:rsidRPr="00882D2B">
        <w:rPr>
          <w:rFonts w:eastAsiaTheme="minorHAnsi"/>
          <w:lang w:val="en-IE" w:eastAsia="nl-NL"/>
        </w:rPr>
        <w:t xml:space="preserve"> used. </w:t>
      </w:r>
      <w:r w:rsidRPr="00882D2B">
        <w:rPr>
          <w:rFonts w:eastAsiaTheme="minorHAnsi"/>
          <w:lang w:val="en-IE"/>
        </w:rPr>
        <w:t xml:space="preserve">In deer, both sites should be in the middle third of one side of the neck, the anterior site at least 100 mm behind the head and the posterior site approximately 130 mm from the other. In smaller deer, inoculation sites are used on each side of the neck. </w:t>
      </w:r>
    </w:p>
    <w:p w14:paraId="7918609F" w14:textId="237B4681" w:rsidR="00854F27" w:rsidRPr="00882D2B" w:rsidRDefault="00854F27" w:rsidP="00A45C13">
      <w:pPr>
        <w:pStyle w:val="111Para"/>
        <w:spacing w:after="200"/>
        <w:rPr>
          <w:lang w:val="en-IE" w:eastAsia="nl-NL"/>
        </w:rPr>
      </w:pPr>
      <w:r w:rsidRPr="00882D2B">
        <w:rPr>
          <w:bCs/>
          <w:lang w:val="en-IE"/>
        </w:rPr>
        <w:t xml:space="preserve">Repeated </w:t>
      </w:r>
      <w:r w:rsidRPr="00882D2B">
        <w:rPr>
          <w:bCs/>
          <w:lang w:val="en-IE" w:eastAsia="nl-NL"/>
        </w:rPr>
        <w:t>skin tests should only be carried out at a 120-day interval to minim</w:t>
      </w:r>
      <w:r w:rsidR="00861AC4" w:rsidRPr="00882D2B">
        <w:rPr>
          <w:bCs/>
          <w:lang w:val="en-IE" w:eastAsia="nl-NL"/>
        </w:rPr>
        <w:t>is</w:t>
      </w:r>
      <w:r w:rsidRPr="00882D2B">
        <w:rPr>
          <w:bCs/>
          <w:lang w:val="en-IE" w:eastAsia="nl-NL"/>
        </w:rPr>
        <w:t>e desensit</w:t>
      </w:r>
      <w:r w:rsidR="00861AC4" w:rsidRPr="00882D2B">
        <w:rPr>
          <w:bCs/>
          <w:lang w:val="en-IE" w:eastAsia="nl-NL"/>
        </w:rPr>
        <w:t>is</w:t>
      </w:r>
      <w:r w:rsidRPr="00882D2B">
        <w:rPr>
          <w:bCs/>
          <w:lang w:val="en-IE" w:eastAsia="nl-NL"/>
        </w:rPr>
        <w:t xml:space="preserve">ation. </w:t>
      </w:r>
      <w:r w:rsidRPr="00882D2B">
        <w:rPr>
          <w:lang w:val="en-IE" w:eastAsia="nl-NL"/>
        </w:rPr>
        <w:t>In the EU, the same interpretation as for bovines is used in cervids for both the SCT and CCT. In the United States, the SCT is recommended as a primary test, and the CCT as a supplemental test in captive cervids. If an animal reacts to the SCT, a retest with the CCT after 120 days is indicated.</w:t>
      </w:r>
    </w:p>
    <w:p w14:paraId="0A9E944B" w14:textId="77777777" w:rsidR="001920AE" w:rsidRPr="00882D2B" w:rsidRDefault="00854F27" w:rsidP="001920AE">
      <w:pPr>
        <w:pStyle w:val="111"/>
      </w:pPr>
      <w:r w:rsidRPr="00882D2B">
        <w:t xml:space="preserve">2.2.4. </w:t>
      </w:r>
      <w:r w:rsidRPr="00882D2B">
        <w:tab/>
        <w:t>Interpretation of test results in sheep and goats</w:t>
      </w:r>
    </w:p>
    <w:p w14:paraId="5A3D58D2" w14:textId="31186F59" w:rsidR="0078350C" w:rsidRPr="00882D2B" w:rsidRDefault="00854F27" w:rsidP="0078350C">
      <w:pPr>
        <w:pStyle w:val="111Para"/>
        <w:spacing w:after="200"/>
        <w:rPr>
          <w:lang w:val="en-IE" w:eastAsia="nl-NL"/>
        </w:rPr>
      </w:pPr>
      <w:r w:rsidRPr="00882D2B">
        <w:rPr>
          <w:rFonts w:eastAsiaTheme="minorHAnsi"/>
          <w:lang w:val="en-IE"/>
        </w:rPr>
        <w:t xml:space="preserve">The skin test and its interpretation are </w:t>
      </w:r>
      <w:r w:rsidR="008A35B3" w:rsidRPr="00882D2B">
        <w:rPr>
          <w:lang w:val="en-IE"/>
        </w:rPr>
        <w:t>less</w:t>
      </w:r>
      <w:r w:rsidRPr="00882D2B">
        <w:rPr>
          <w:rFonts w:eastAsiaTheme="minorHAnsi"/>
          <w:lang w:val="en-IE"/>
        </w:rPr>
        <w:t xml:space="preserve"> well</w:t>
      </w:r>
      <w:r w:rsidRPr="00882D2B">
        <w:rPr>
          <w:lang w:val="en-IE"/>
        </w:rPr>
        <w:t xml:space="preserve"> </w:t>
      </w:r>
      <w:r w:rsidRPr="00882D2B">
        <w:rPr>
          <w:rFonts w:eastAsiaTheme="minorHAnsi"/>
          <w:lang w:val="en-IE"/>
        </w:rPr>
        <w:t xml:space="preserve">validated in sheep </w:t>
      </w:r>
      <w:r w:rsidR="00336207">
        <w:rPr>
          <w:rFonts w:eastAsiaTheme="minorHAnsi"/>
          <w:lang w:val="en-IE"/>
        </w:rPr>
        <w:t xml:space="preserve">and goats </w:t>
      </w:r>
      <w:r w:rsidR="00947FFC" w:rsidRPr="00882D2B">
        <w:rPr>
          <w:rFonts w:eastAsiaTheme="minorHAnsi"/>
          <w:lang w:val="en-IE"/>
        </w:rPr>
        <w:t>than in cattle and deer</w:t>
      </w:r>
      <w:r w:rsidR="0094251F">
        <w:rPr>
          <w:rFonts w:eastAsiaTheme="minorHAnsi"/>
          <w:lang w:val="en-IE"/>
        </w:rPr>
        <w:t xml:space="preserve"> (see Roy </w:t>
      </w:r>
      <w:r w:rsidR="0094251F">
        <w:rPr>
          <w:rFonts w:eastAsiaTheme="minorHAnsi"/>
          <w:i/>
          <w:iCs/>
          <w:lang w:val="en-IE"/>
        </w:rPr>
        <w:t>et al.</w:t>
      </w:r>
      <w:r w:rsidR="00B0232F">
        <w:rPr>
          <w:rFonts w:eastAsiaTheme="minorHAnsi"/>
          <w:lang w:val="en-IE"/>
        </w:rPr>
        <w:t>, 2020)</w:t>
      </w:r>
      <w:r w:rsidRPr="00882D2B">
        <w:rPr>
          <w:rFonts w:eastAsiaTheme="minorHAnsi"/>
          <w:lang w:val="en-IE"/>
        </w:rPr>
        <w:t xml:space="preserve">. The skin test can be performed in both species in the </w:t>
      </w:r>
      <w:r w:rsidR="00D33750" w:rsidRPr="00882D2B">
        <w:rPr>
          <w:rFonts w:eastAsiaTheme="minorHAnsi"/>
          <w:lang w:val="en-IE"/>
        </w:rPr>
        <w:t>mid</w:t>
      </w:r>
      <w:r w:rsidR="00D33750">
        <w:rPr>
          <w:rFonts w:eastAsiaTheme="minorHAnsi"/>
          <w:lang w:val="en-IE"/>
        </w:rPr>
        <w:t>-</w:t>
      </w:r>
      <w:r w:rsidR="00D33750" w:rsidRPr="00882D2B">
        <w:rPr>
          <w:rFonts w:eastAsiaTheme="minorHAnsi"/>
          <w:lang w:val="en-IE"/>
        </w:rPr>
        <w:t xml:space="preserve">cervical </w:t>
      </w:r>
      <w:r w:rsidR="00ED4468">
        <w:rPr>
          <w:rFonts w:eastAsiaTheme="minorHAnsi"/>
          <w:lang w:val="en-IE"/>
        </w:rPr>
        <w:t xml:space="preserve">or the scapular </w:t>
      </w:r>
      <w:r w:rsidRPr="00882D2B">
        <w:rPr>
          <w:rFonts w:eastAsiaTheme="minorHAnsi"/>
          <w:lang w:val="en-IE"/>
        </w:rPr>
        <w:t xml:space="preserve">area using the SCT or CCT </w:t>
      </w:r>
      <w:r w:rsidR="00D33750" w:rsidRPr="00882D2B">
        <w:rPr>
          <w:rFonts w:eastAsiaTheme="minorHAnsi"/>
          <w:lang w:val="en-IE"/>
        </w:rPr>
        <w:t>or in the caudal fold</w:t>
      </w:r>
      <w:r w:rsidRPr="009A21F0">
        <w:rPr>
          <w:rFonts w:eastAsiaTheme="minorHAnsi"/>
        </w:rPr>
        <w:t xml:space="preserve">. </w:t>
      </w:r>
      <w:r w:rsidR="009F3949" w:rsidRPr="00BA30CD">
        <w:rPr>
          <w:highlight w:val="yellow"/>
          <w:u w:val="double"/>
          <w:lang w:val="en-IE"/>
        </w:rPr>
        <w:t>Other areas free of wool can be used</w:t>
      </w:r>
      <w:r w:rsidR="007F74FA">
        <w:rPr>
          <w:highlight w:val="yellow"/>
          <w:u w:val="double"/>
          <w:lang w:val="en-IE"/>
        </w:rPr>
        <w:t>,</w:t>
      </w:r>
      <w:r w:rsidR="009F3949" w:rsidRPr="00BA30CD">
        <w:rPr>
          <w:highlight w:val="yellow"/>
          <w:u w:val="double"/>
          <w:lang w:val="en-IE"/>
        </w:rPr>
        <w:t xml:space="preserve"> e</w:t>
      </w:r>
      <w:r w:rsidR="00A11B9F" w:rsidRPr="00BA30CD">
        <w:rPr>
          <w:highlight w:val="yellow"/>
          <w:u w:val="double"/>
          <w:lang w:val="en-IE"/>
        </w:rPr>
        <w:t>.</w:t>
      </w:r>
      <w:r w:rsidR="009F3949" w:rsidRPr="00BA30CD">
        <w:rPr>
          <w:highlight w:val="yellow"/>
          <w:u w:val="double"/>
          <w:lang w:val="en-IE"/>
        </w:rPr>
        <w:t>g</w:t>
      </w:r>
      <w:r w:rsidR="00A11B9F" w:rsidRPr="00BA30CD">
        <w:rPr>
          <w:highlight w:val="yellow"/>
          <w:u w:val="double"/>
          <w:lang w:val="en-IE"/>
        </w:rPr>
        <w:t>.</w:t>
      </w:r>
      <w:r w:rsidR="009F3949" w:rsidRPr="00BA30CD">
        <w:rPr>
          <w:highlight w:val="yellow"/>
          <w:u w:val="double"/>
          <w:lang w:val="en-IE"/>
        </w:rPr>
        <w:t xml:space="preserve"> the upper inner areas of the rear legs</w:t>
      </w:r>
      <w:r w:rsidR="007F74FA">
        <w:rPr>
          <w:highlight w:val="yellow"/>
          <w:u w:val="double"/>
          <w:lang w:val="en-IE"/>
        </w:rPr>
        <w:t>,</w:t>
      </w:r>
      <w:r w:rsidR="009F3949" w:rsidRPr="00BA30CD">
        <w:rPr>
          <w:highlight w:val="yellow"/>
          <w:u w:val="double"/>
          <w:lang w:val="en-IE"/>
        </w:rPr>
        <w:t xml:space="preserve"> </w:t>
      </w:r>
      <w:r w:rsidR="00FA155E" w:rsidRPr="00BA30CD">
        <w:rPr>
          <w:highlight w:val="yellow"/>
          <w:u w:val="double"/>
          <w:lang w:val="en-IE"/>
        </w:rPr>
        <w:t>which avoids loss of</w:t>
      </w:r>
      <w:r w:rsidR="009F3949" w:rsidRPr="00BA30CD">
        <w:rPr>
          <w:highlight w:val="yellow"/>
          <w:u w:val="double"/>
          <w:lang w:val="en-IE"/>
        </w:rPr>
        <w:t xml:space="preserve"> wool quality</w:t>
      </w:r>
      <w:r w:rsidR="00FA155E" w:rsidRPr="00BA30CD">
        <w:rPr>
          <w:highlight w:val="yellow"/>
          <w:u w:val="double"/>
          <w:lang w:val="en-IE"/>
        </w:rPr>
        <w:t>.</w:t>
      </w:r>
      <w:r w:rsidR="009F3949" w:rsidRPr="00882D2B">
        <w:rPr>
          <w:rFonts w:eastAsiaTheme="minorHAnsi"/>
          <w:lang w:val="en-IE"/>
        </w:rPr>
        <w:t xml:space="preserve"> </w:t>
      </w:r>
      <w:r w:rsidRPr="00882D2B">
        <w:rPr>
          <w:rFonts w:eastAsiaTheme="minorHAnsi"/>
          <w:lang w:val="en-IE"/>
        </w:rPr>
        <w:t xml:space="preserve">Given the small size of the neck in both species, the CCT is often performed </w:t>
      </w:r>
      <w:r w:rsidR="009F0D85" w:rsidRPr="00882D2B">
        <w:rPr>
          <w:rFonts w:eastAsiaTheme="minorHAnsi"/>
          <w:lang w:val="en-IE"/>
        </w:rPr>
        <w:t>by</w:t>
      </w:r>
      <w:r w:rsidRPr="00882D2B">
        <w:rPr>
          <w:rFonts w:eastAsiaTheme="minorHAnsi"/>
          <w:lang w:val="en-IE"/>
        </w:rPr>
        <w:t xml:space="preserve"> applying the PPDs </w:t>
      </w:r>
      <w:r w:rsidR="009F0D85" w:rsidRPr="00882D2B">
        <w:rPr>
          <w:rFonts w:eastAsiaTheme="minorHAnsi"/>
          <w:lang w:val="en-IE"/>
        </w:rPr>
        <w:t xml:space="preserve">on </w:t>
      </w:r>
      <w:r w:rsidRPr="00882D2B">
        <w:rPr>
          <w:rFonts w:eastAsiaTheme="minorHAnsi"/>
          <w:lang w:val="en-IE"/>
        </w:rPr>
        <w:t>opposite side</w:t>
      </w:r>
      <w:r w:rsidR="00A11648" w:rsidRPr="00882D2B">
        <w:rPr>
          <w:rFonts w:eastAsiaTheme="minorHAnsi"/>
          <w:lang w:val="en-IE"/>
        </w:rPr>
        <w:t>s of the neck</w:t>
      </w:r>
      <w:r w:rsidRPr="00882D2B">
        <w:rPr>
          <w:rFonts w:eastAsiaTheme="minorHAnsi"/>
          <w:lang w:val="en-IE"/>
        </w:rPr>
        <w:t xml:space="preserve">. Evaluation of the SCT and CCT can be done by measuring and applying the </w:t>
      </w:r>
      <w:r w:rsidR="006E15B3" w:rsidRPr="00882D2B">
        <w:rPr>
          <w:rFonts w:eastAsiaTheme="minorHAnsi"/>
          <w:lang w:val="en-IE"/>
        </w:rPr>
        <w:t xml:space="preserve">same </w:t>
      </w:r>
      <w:r w:rsidRPr="00882D2B">
        <w:rPr>
          <w:rFonts w:eastAsiaTheme="minorHAnsi"/>
          <w:lang w:val="en-IE"/>
        </w:rPr>
        <w:t>interpretation</w:t>
      </w:r>
      <w:r w:rsidR="00B41D23" w:rsidRPr="00882D2B">
        <w:rPr>
          <w:rFonts w:eastAsiaTheme="minorHAnsi"/>
          <w:lang w:val="en-IE"/>
        </w:rPr>
        <w:t xml:space="preserve"> as for cattle</w:t>
      </w:r>
      <w:r w:rsidRPr="00882D2B">
        <w:rPr>
          <w:rFonts w:eastAsiaTheme="minorHAnsi"/>
          <w:lang w:val="en-IE"/>
        </w:rPr>
        <w:t>, depending on the national legislation.</w:t>
      </w:r>
    </w:p>
    <w:p w14:paraId="7E855238" w14:textId="5F5BFF51" w:rsidR="0078350C" w:rsidRPr="00BA30CD" w:rsidRDefault="0078350C" w:rsidP="0078350C">
      <w:pPr>
        <w:pStyle w:val="111"/>
        <w:rPr>
          <w:u w:val="double"/>
        </w:rPr>
      </w:pPr>
      <w:r w:rsidRPr="00BA30CD">
        <w:rPr>
          <w:highlight w:val="yellow"/>
          <w:u w:val="double"/>
        </w:rPr>
        <w:t xml:space="preserve">2.2.5. </w:t>
      </w:r>
      <w:r w:rsidRPr="00BA30CD">
        <w:rPr>
          <w:highlight w:val="yellow"/>
          <w:u w:val="double"/>
        </w:rPr>
        <w:tab/>
        <w:t>Interpretation of test results in camelids</w:t>
      </w:r>
    </w:p>
    <w:p w14:paraId="7E9FECBA" w14:textId="318337F5" w:rsidR="0078350C" w:rsidRPr="00BA30CD" w:rsidRDefault="00DB248E" w:rsidP="00DB248E">
      <w:pPr>
        <w:pStyle w:val="111Para"/>
        <w:spacing w:after="200"/>
        <w:rPr>
          <w:rFonts w:eastAsiaTheme="minorHAnsi"/>
          <w:highlight w:val="yellow"/>
          <w:u w:val="double"/>
          <w:lang w:val="en-IE"/>
        </w:rPr>
      </w:pPr>
      <w:r w:rsidRPr="00BA30CD">
        <w:rPr>
          <w:highlight w:val="yellow"/>
          <w:u w:val="double"/>
          <w:lang w:val="en-IE"/>
        </w:rPr>
        <w:t>The skin test can be performed at the axillary, cervical or prescapular regions. When both PPD-B and PPD-A are used, they should be injected intradermally on each side at identical sites (cervical, prescapular or axillary). In the cervical and prescapular sites</w:t>
      </w:r>
      <w:r w:rsidR="00206330">
        <w:rPr>
          <w:highlight w:val="yellow"/>
          <w:u w:val="double"/>
          <w:lang w:val="en-IE"/>
        </w:rPr>
        <w:t>,</w:t>
      </w:r>
      <w:r w:rsidRPr="00BA30CD">
        <w:rPr>
          <w:highlight w:val="yellow"/>
          <w:u w:val="double"/>
          <w:lang w:val="en-IE"/>
        </w:rPr>
        <w:t xml:space="preserve"> it </w:t>
      </w:r>
      <w:r w:rsidR="00206330">
        <w:rPr>
          <w:highlight w:val="yellow"/>
          <w:u w:val="double"/>
          <w:lang w:val="en-IE"/>
        </w:rPr>
        <w:t>may</w:t>
      </w:r>
      <w:r w:rsidRPr="00BA30CD">
        <w:rPr>
          <w:highlight w:val="yellow"/>
          <w:u w:val="double"/>
          <w:lang w:val="en-IE"/>
        </w:rPr>
        <w:t xml:space="preserve"> be possible to inject both PPDs on the same side if separated sufficiently. </w:t>
      </w:r>
      <w:r w:rsidRPr="00BA30CD">
        <w:rPr>
          <w:rFonts w:eastAsiaTheme="minorHAnsi"/>
          <w:highlight w:val="yellow"/>
          <w:u w:val="double"/>
          <w:lang w:val="en-IE"/>
        </w:rPr>
        <w:t xml:space="preserve">Evaluation of the SCT and CCT can be done by measuring and applying the same interpretation as for cattle, depending on national legislation. </w:t>
      </w:r>
    </w:p>
    <w:p w14:paraId="1B379799" w14:textId="1D76A0ED" w:rsidR="00DB248E" w:rsidRPr="00DB248E" w:rsidRDefault="00B132EF" w:rsidP="00F31183">
      <w:pPr>
        <w:pStyle w:val="111Para"/>
        <w:spacing w:after="200"/>
        <w:rPr>
          <w:lang w:val="en-IE"/>
        </w:rPr>
      </w:pPr>
      <w:r w:rsidRPr="00BA30CD">
        <w:rPr>
          <w:highlight w:val="yellow"/>
          <w:u w:val="double"/>
          <w:lang w:val="en-IE"/>
        </w:rPr>
        <w:t>S</w:t>
      </w:r>
      <w:r w:rsidR="00CF1C5B" w:rsidRPr="00BA30CD">
        <w:rPr>
          <w:highlight w:val="yellow"/>
          <w:u w:val="double"/>
          <w:lang w:val="en-IE"/>
        </w:rPr>
        <w:t>kin test</w:t>
      </w:r>
      <w:r w:rsidRPr="00BA30CD">
        <w:rPr>
          <w:highlight w:val="yellow"/>
          <w:u w:val="double"/>
          <w:lang w:val="en-IE"/>
        </w:rPr>
        <w:t>s</w:t>
      </w:r>
      <w:r w:rsidR="00CF1C5B" w:rsidRPr="00BA30CD">
        <w:rPr>
          <w:highlight w:val="yellow"/>
          <w:u w:val="double"/>
          <w:lang w:val="en-IE"/>
        </w:rPr>
        <w:t xml:space="preserve"> for camelids ha</w:t>
      </w:r>
      <w:r w:rsidRPr="00BA30CD">
        <w:rPr>
          <w:highlight w:val="yellow"/>
          <w:u w:val="double"/>
          <w:lang w:val="en-IE"/>
        </w:rPr>
        <w:t>ve</w:t>
      </w:r>
      <w:r w:rsidR="00CF1C5B" w:rsidRPr="00BA30CD">
        <w:rPr>
          <w:highlight w:val="yellow"/>
          <w:u w:val="double"/>
          <w:lang w:val="en-IE"/>
        </w:rPr>
        <w:t xml:space="preserve"> shown lower sensitivity</w:t>
      </w:r>
      <w:r w:rsidRPr="00BA30CD">
        <w:rPr>
          <w:highlight w:val="yellow"/>
          <w:u w:val="double"/>
          <w:lang w:val="en-IE"/>
        </w:rPr>
        <w:t xml:space="preserve"> and specificity</w:t>
      </w:r>
      <w:r w:rsidR="00CF1C5B" w:rsidRPr="00BA30CD">
        <w:rPr>
          <w:highlight w:val="yellow"/>
          <w:u w:val="double"/>
          <w:lang w:val="en-IE"/>
        </w:rPr>
        <w:t xml:space="preserve"> compare</w:t>
      </w:r>
      <w:r w:rsidR="00206330">
        <w:rPr>
          <w:highlight w:val="yellow"/>
          <w:u w:val="double"/>
          <w:lang w:val="en-IE"/>
        </w:rPr>
        <w:t>d with</w:t>
      </w:r>
      <w:r w:rsidR="00CF1C5B" w:rsidRPr="00BA30CD">
        <w:rPr>
          <w:highlight w:val="yellow"/>
          <w:u w:val="double"/>
          <w:lang w:val="en-IE"/>
        </w:rPr>
        <w:t xml:space="preserve"> that for cattle. </w:t>
      </w:r>
      <w:r w:rsidR="001B1512" w:rsidRPr="00BA30CD">
        <w:rPr>
          <w:highlight w:val="yellow"/>
          <w:u w:val="double"/>
          <w:lang w:val="en-IE"/>
        </w:rPr>
        <w:t xml:space="preserve">In the EU, </w:t>
      </w:r>
      <w:r w:rsidR="00CF1C5B" w:rsidRPr="00BA30CD">
        <w:rPr>
          <w:highlight w:val="yellow"/>
          <w:u w:val="double"/>
          <w:lang w:val="en-IE"/>
        </w:rPr>
        <w:t xml:space="preserve">it </w:t>
      </w:r>
      <w:r w:rsidR="00F31183" w:rsidRPr="00BA30CD">
        <w:rPr>
          <w:highlight w:val="yellow"/>
          <w:u w:val="double"/>
          <w:lang w:val="en-IE"/>
        </w:rPr>
        <w:t>is recommended to use as a complementary test to the serological protocol.</w:t>
      </w:r>
    </w:p>
    <w:p w14:paraId="680A5AA9" w14:textId="072350A5" w:rsidR="001920AE" w:rsidRPr="00882D2B" w:rsidRDefault="002150B4" w:rsidP="001920AE">
      <w:pPr>
        <w:pStyle w:val="111"/>
        <w:jc w:val="both"/>
        <w:rPr>
          <w:lang w:val="en-IE"/>
        </w:rPr>
      </w:pPr>
      <w:r w:rsidRPr="0078350C">
        <w:rPr>
          <w:rFonts w:ascii="Arial" w:hAnsi="Arial"/>
          <w:noProof/>
          <w:color w:val="000000" w:themeColor="text1"/>
          <w:sz w:val="18"/>
          <w:szCs w:val="18"/>
          <w:highlight w:val="yellow"/>
          <w:lang w:val="es-ES" w:eastAsia="es-ES"/>
        </w:rPr>
        <mc:AlternateContent>
          <mc:Choice Requires="wps">
            <w:drawing>
              <wp:anchor distT="0" distB="0" distL="114300" distR="114300" simplePos="0" relativeHeight="251658240" behindDoc="0" locked="0" layoutInCell="1" allowOverlap="1" wp14:anchorId="537E2CEE" wp14:editId="07888812">
                <wp:simplePos x="0" y="0"/>
                <wp:positionH relativeFrom="column">
                  <wp:posOffset>4257675</wp:posOffset>
                </wp:positionH>
                <wp:positionV relativeFrom="paragraph">
                  <wp:posOffset>83820</wp:posOffset>
                </wp:positionV>
                <wp:extent cx="1828800" cy="1295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295400"/>
                        </a:xfrm>
                        <a:prstGeom prst="rect">
                          <a:avLst/>
                        </a:prstGeom>
                        <a:solidFill>
                          <a:schemeClr val="lt1"/>
                        </a:solidFill>
                        <a:ln w="6350">
                          <a:noFill/>
                        </a:ln>
                      </wps:spPr>
                      <wps:txbx>
                        <w:txbxContent>
                          <w:p w14:paraId="0917B281" w14:textId="77777777" w:rsidR="00C31C3D" w:rsidRDefault="00C31C3D" w:rsidP="00854F27">
                            <w:r w:rsidRPr="00676B29">
                              <w:rPr>
                                <w:rFonts w:ascii="Arial" w:hAnsi="Arial" w:cs="Arial"/>
                                <w:noProof/>
                                <w:sz w:val="18"/>
                                <w:szCs w:val="18"/>
                                <w:lang w:val="es-ES" w:eastAsia="es-ES"/>
                              </w:rPr>
                              <w:drawing>
                                <wp:inline distT="0" distB="0" distL="0" distR="0" wp14:anchorId="285E94DB" wp14:editId="6AD4E42F">
                                  <wp:extent cx="1612245" cy="1200838"/>
                                  <wp:effectExtent l="0" t="0" r="1270" b="5715"/>
                                  <wp:docPr id="23" name="Picture 23" descr="A close up of a bi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185" cy="12626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7E2CEE" id="_x0000_t202" coordsize="21600,21600" o:spt="202" path="m,l,21600r21600,l21600,xe">
                <v:stroke joinstyle="miter"/>
                <v:path gradientshapeok="t" o:connecttype="rect"/>
              </v:shapetype>
              <v:shape id="Text Box 22" o:spid="_x0000_s1026" type="#_x0000_t202" style="position:absolute;left:0;text-align:left;margin-left:335.25pt;margin-top:6.6pt;width:2in;height:1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" fillcolor="white [3201]" stroked="f" strokeweight=".5pt">
                <v:textbox>
                  <w:txbxContent>
                    <w:p w14:paraId="0917B281" w14:textId="77777777" w:rsidR="00C31C3D" w:rsidRDefault="00C31C3D" w:rsidP="00854F27">
                      <w:r w:rsidRPr="00676B29">
                        <w:rPr>
                          <w:rFonts w:ascii="Arial" w:hAnsi="Arial" w:cs="Arial"/>
                          <w:noProof/>
                          <w:sz w:val="18"/>
                          <w:szCs w:val="18"/>
                          <w:lang w:val="es-ES" w:eastAsia="es-ES"/>
                        </w:rPr>
                        <w:drawing>
                          <wp:inline distT="0" distB="0" distL="0" distR="0" wp14:anchorId="285E94DB" wp14:editId="6AD4E42F">
                            <wp:extent cx="1612245" cy="1200838"/>
                            <wp:effectExtent l="0" t="0" r="1270" b="5715"/>
                            <wp:docPr id="23" name="Picture 23" descr="A close up of a bi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185" cy="1262613"/>
                                    </a:xfrm>
                                    <a:prstGeom prst="rect">
                                      <a:avLst/>
                                    </a:prstGeom>
                                  </pic:spPr>
                                </pic:pic>
                              </a:graphicData>
                            </a:graphic>
                          </wp:inline>
                        </w:drawing>
                      </w:r>
                    </w:p>
                  </w:txbxContent>
                </v:textbox>
                <w10:wrap type="square"/>
              </v:shape>
            </w:pict>
          </mc:Fallback>
        </mc:AlternateContent>
      </w:r>
      <w:r w:rsidR="00854F27" w:rsidRPr="0078350C">
        <w:rPr>
          <w:highlight w:val="yellow"/>
          <w:lang w:val="en-IE"/>
        </w:rPr>
        <w:t>2.2.</w:t>
      </w:r>
      <w:r w:rsidR="00854F27" w:rsidRPr="00BA30CD">
        <w:rPr>
          <w:strike/>
          <w:highlight w:val="yellow"/>
          <w:lang w:val="en-IE"/>
        </w:rPr>
        <w:t>5</w:t>
      </w:r>
      <w:r w:rsidR="0078350C" w:rsidRPr="00BA30CD">
        <w:rPr>
          <w:highlight w:val="yellow"/>
          <w:u w:val="double"/>
          <w:lang w:val="en-IE"/>
        </w:rPr>
        <w:t>6</w:t>
      </w:r>
      <w:r w:rsidR="00854F27" w:rsidRPr="00882D2B">
        <w:rPr>
          <w:lang w:val="en-IE"/>
        </w:rPr>
        <w:t>. Interpretation in pigs</w:t>
      </w:r>
    </w:p>
    <w:p w14:paraId="2C9549F4" w14:textId="508D9097" w:rsidR="00854F27" w:rsidRPr="00882D2B" w:rsidRDefault="00854F27" w:rsidP="00A45C13">
      <w:pPr>
        <w:pStyle w:val="111Para"/>
        <w:spacing w:after="200"/>
        <w:rPr>
          <w:b/>
          <w:lang w:val="en-IE"/>
        </w:rPr>
      </w:pPr>
      <w:r w:rsidRPr="00882D2B">
        <w:rPr>
          <w:rFonts w:eastAsiaTheme="minorHAnsi"/>
          <w:lang w:val="en-IE"/>
        </w:rPr>
        <w:t>I</w:t>
      </w:r>
      <w:r w:rsidRPr="00882D2B">
        <w:rPr>
          <w:lang w:val="en-IE"/>
        </w:rPr>
        <w:t>t</w:t>
      </w:r>
      <w:r w:rsidRPr="00882D2B">
        <w:rPr>
          <w:rFonts w:eastAsiaTheme="minorHAnsi"/>
          <w:lang w:val="en-IE"/>
        </w:rPr>
        <w:t xml:space="preserve"> is advisable to use </w:t>
      </w:r>
      <w:r w:rsidRPr="00882D2B">
        <w:rPr>
          <w:lang w:val="en-IE"/>
        </w:rPr>
        <w:t xml:space="preserve">the </w:t>
      </w:r>
      <w:r w:rsidR="00A12331">
        <w:rPr>
          <w:lang w:val="en-IE"/>
        </w:rPr>
        <w:t>C</w:t>
      </w:r>
      <w:r w:rsidRPr="00882D2B">
        <w:rPr>
          <w:lang w:val="en-IE"/>
        </w:rPr>
        <w:t>CT</w:t>
      </w:r>
      <w:r w:rsidRPr="00882D2B">
        <w:rPr>
          <w:rFonts w:eastAsiaTheme="minorHAnsi"/>
          <w:lang w:val="en-IE"/>
        </w:rPr>
        <w:t xml:space="preserve"> with a dose of 2000</w:t>
      </w:r>
      <w:r w:rsidR="00206B41" w:rsidRPr="00882D2B">
        <w:rPr>
          <w:rFonts w:eastAsiaTheme="minorHAnsi"/>
          <w:lang w:val="en-IE"/>
        </w:rPr>
        <w:t> </w:t>
      </w:r>
      <w:r w:rsidRPr="00882D2B">
        <w:rPr>
          <w:rFonts w:eastAsiaTheme="minorHAnsi"/>
          <w:lang w:val="en-IE"/>
        </w:rPr>
        <w:t>IU</w:t>
      </w:r>
      <w:r w:rsidRPr="00882D2B">
        <w:rPr>
          <w:lang w:val="en-IE"/>
        </w:rPr>
        <w:t xml:space="preserve"> of each</w:t>
      </w:r>
      <w:r w:rsidRPr="00882D2B">
        <w:rPr>
          <w:rFonts w:eastAsiaTheme="minorHAnsi"/>
          <w:lang w:val="en-IE"/>
        </w:rPr>
        <w:t xml:space="preserve"> </w:t>
      </w:r>
      <w:r w:rsidRPr="00882D2B">
        <w:rPr>
          <w:lang w:val="en-IE"/>
        </w:rPr>
        <w:t>antigen.</w:t>
      </w:r>
      <w:r w:rsidR="00140119" w:rsidRPr="00882D2B">
        <w:rPr>
          <w:b/>
          <w:bCs/>
          <w:lang w:val="en-IE"/>
        </w:rPr>
        <w:t xml:space="preserve"> </w:t>
      </w:r>
      <w:r w:rsidRPr="00882D2B">
        <w:rPr>
          <w:rFonts w:eastAsiaTheme="minorHAnsi"/>
          <w:lang w:val="en-IE"/>
        </w:rPr>
        <w:t xml:space="preserve">Reactions in pigs </w:t>
      </w:r>
      <w:r w:rsidRPr="00882D2B">
        <w:rPr>
          <w:lang w:val="en-IE"/>
        </w:rPr>
        <w:t>may</w:t>
      </w:r>
      <w:r w:rsidRPr="00882D2B">
        <w:rPr>
          <w:rFonts w:eastAsiaTheme="minorHAnsi"/>
          <w:lang w:val="en-IE"/>
        </w:rPr>
        <w:t xml:space="preserve"> be very pronounced and higher concentrations of PPDs may result in necrosis of the skin.</w:t>
      </w:r>
      <w:r w:rsidR="00140119" w:rsidRPr="00882D2B">
        <w:rPr>
          <w:b/>
          <w:bCs/>
          <w:lang w:val="en-IE"/>
        </w:rPr>
        <w:t xml:space="preserve"> </w:t>
      </w:r>
      <w:r w:rsidRPr="00882D2B">
        <w:rPr>
          <w:rFonts w:eastAsiaTheme="minorHAnsi"/>
          <w:lang w:val="en-IE"/>
        </w:rPr>
        <w:t xml:space="preserve">The preferred site is the loose skin at the dorsal surface of the ear at the furrow between head and ear. </w:t>
      </w:r>
      <w:r w:rsidRPr="00882D2B">
        <w:rPr>
          <w:lang w:val="en-IE"/>
        </w:rPr>
        <w:t xml:space="preserve">The PPD-A and PPD-B are injected at the base of the left and right ear, respectively. The reaction can be read after 48 </w:t>
      </w:r>
      <w:r w:rsidR="00CB5540" w:rsidRPr="00BA30CD">
        <w:rPr>
          <w:highlight w:val="yellow"/>
          <w:u w:val="double"/>
          <w:lang w:val="en-IE"/>
        </w:rPr>
        <w:t>or 72</w:t>
      </w:r>
      <w:r w:rsidR="00CB5540">
        <w:rPr>
          <w:lang w:val="en-IE"/>
        </w:rPr>
        <w:t xml:space="preserve"> </w:t>
      </w:r>
      <w:r w:rsidRPr="00882D2B">
        <w:rPr>
          <w:lang w:val="en-IE"/>
        </w:rPr>
        <w:t xml:space="preserve">hours. Interpretation </w:t>
      </w:r>
      <w:r w:rsidR="007B4B64" w:rsidRPr="00882D2B">
        <w:rPr>
          <w:lang w:val="en-IE"/>
        </w:rPr>
        <w:t>should follow either</w:t>
      </w:r>
      <w:r w:rsidRPr="00882D2B">
        <w:rPr>
          <w:lang w:val="en-IE"/>
        </w:rPr>
        <w:t xml:space="preserve"> the same scheme as used for the CCT in </w:t>
      </w:r>
      <w:r w:rsidR="003404A2" w:rsidRPr="00882D2B">
        <w:rPr>
          <w:lang w:val="en-IE"/>
        </w:rPr>
        <w:t>cattle</w:t>
      </w:r>
      <w:r w:rsidRPr="00882D2B">
        <w:rPr>
          <w:lang w:val="en-IE"/>
        </w:rPr>
        <w:t xml:space="preserve"> or by palpation, depending on local legislation.</w:t>
      </w:r>
    </w:p>
    <w:p w14:paraId="573B5EC4" w14:textId="720432B5" w:rsidR="00344008" w:rsidRPr="00882D2B" w:rsidRDefault="00854F27" w:rsidP="001920AE">
      <w:pPr>
        <w:pStyle w:val="111"/>
        <w:rPr>
          <w:lang w:val="en-IE"/>
        </w:rPr>
      </w:pPr>
      <w:r w:rsidRPr="0078350C">
        <w:rPr>
          <w:highlight w:val="yellow"/>
          <w:lang w:val="en-IE"/>
        </w:rPr>
        <w:t>2.2.</w:t>
      </w:r>
      <w:r w:rsidR="00A21D67" w:rsidRPr="00BA30CD">
        <w:rPr>
          <w:strike/>
          <w:highlight w:val="yellow"/>
          <w:lang w:val="en-IE"/>
        </w:rPr>
        <w:t>6</w:t>
      </w:r>
      <w:r w:rsidR="0078350C" w:rsidRPr="00BA30CD">
        <w:rPr>
          <w:highlight w:val="yellow"/>
          <w:u w:val="double"/>
          <w:lang w:val="en-IE"/>
        </w:rPr>
        <w:t>7</w:t>
      </w:r>
      <w:r w:rsidRPr="00882D2B">
        <w:rPr>
          <w:lang w:val="en-IE"/>
        </w:rPr>
        <w:t>.</w:t>
      </w:r>
      <w:r w:rsidR="001920AE" w:rsidRPr="00882D2B">
        <w:rPr>
          <w:lang w:val="en-IE"/>
        </w:rPr>
        <w:tab/>
      </w:r>
      <w:r w:rsidRPr="00882D2B">
        <w:rPr>
          <w:lang w:val="en-IE"/>
        </w:rPr>
        <w:t>Interpretation in exotic and zoo animals</w:t>
      </w:r>
    </w:p>
    <w:p w14:paraId="49F0A285" w14:textId="1CC03400" w:rsidR="00854F27" w:rsidRPr="00882D2B" w:rsidRDefault="00344008" w:rsidP="00A45C13">
      <w:pPr>
        <w:pStyle w:val="111Para"/>
        <w:spacing w:after="200"/>
        <w:rPr>
          <w:b/>
          <w:lang w:val="en-IE"/>
        </w:rPr>
      </w:pPr>
      <w:r w:rsidRPr="00882D2B">
        <w:rPr>
          <w:lang w:val="en-IE"/>
        </w:rPr>
        <w:t>For non-human primates, “</w:t>
      </w:r>
      <w:r w:rsidR="00245A4A" w:rsidRPr="00882D2B">
        <w:rPr>
          <w:lang w:val="en-IE"/>
        </w:rPr>
        <w:t xml:space="preserve">mammalian </w:t>
      </w:r>
      <w:r w:rsidRPr="00882D2B">
        <w:rPr>
          <w:lang w:val="en-IE"/>
        </w:rPr>
        <w:t xml:space="preserve">old tuberculin” is administered </w:t>
      </w:r>
      <w:proofErr w:type="spellStart"/>
      <w:r w:rsidRPr="00882D2B">
        <w:rPr>
          <w:lang w:val="en-IE"/>
        </w:rPr>
        <w:t>intrapalpebrally</w:t>
      </w:r>
      <w:proofErr w:type="spellEnd"/>
      <w:r w:rsidRPr="00882D2B">
        <w:rPr>
          <w:lang w:val="en-IE"/>
        </w:rPr>
        <w:t xml:space="preserve"> </w:t>
      </w:r>
      <w:r w:rsidR="00692581" w:rsidRPr="00882D2B">
        <w:rPr>
          <w:lang w:val="en-IE"/>
        </w:rPr>
        <w:t>in the middle of the upper eyelid adjacent to the edge of the lid</w:t>
      </w:r>
      <w:r w:rsidR="00FE2C84" w:rsidRPr="00882D2B">
        <w:rPr>
          <w:lang w:val="en-IE"/>
        </w:rPr>
        <w:t>,</w:t>
      </w:r>
      <w:r w:rsidR="00692581" w:rsidRPr="00882D2B">
        <w:rPr>
          <w:lang w:val="en-IE"/>
        </w:rPr>
        <w:t xml:space="preserve"> </w:t>
      </w:r>
      <w:r w:rsidR="00854F27" w:rsidRPr="00882D2B">
        <w:rPr>
          <w:lang w:val="en-IE"/>
        </w:rPr>
        <w:t xml:space="preserve">to detect tuberculosis caused by </w:t>
      </w:r>
      <w:r w:rsidR="00854F27" w:rsidRPr="00882D2B">
        <w:rPr>
          <w:i/>
          <w:lang w:val="en-IE"/>
        </w:rPr>
        <w:t>M.</w:t>
      </w:r>
      <w:r w:rsidR="00601BB0" w:rsidRPr="00882D2B">
        <w:rPr>
          <w:i/>
          <w:lang w:val="en-IE"/>
        </w:rPr>
        <w:t> </w:t>
      </w:r>
      <w:r w:rsidR="00854F27" w:rsidRPr="00882D2B">
        <w:rPr>
          <w:i/>
          <w:lang w:val="en-IE"/>
        </w:rPr>
        <w:t xml:space="preserve">tuberculosis </w:t>
      </w:r>
      <w:r w:rsidR="00854F27" w:rsidRPr="00882D2B">
        <w:rPr>
          <w:lang w:val="en-IE"/>
        </w:rPr>
        <w:t xml:space="preserve">or </w:t>
      </w:r>
      <w:r w:rsidR="00EB77B9">
        <w:rPr>
          <w:i/>
          <w:lang w:val="en-IE"/>
        </w:rPr>
        <w:t>M. </w:t>
      </w:r>
      <w:proofErr w:type="spellStart"/>
      <w:r w:rsidR="00854F27" w:rsidRPr="00882D2B">
        <w:rPr>
          <w:i/>
          <w:lang w:val="en-IE"/>
        </w:rPr>
        <w:t>bovis</w:t>
      </w:r>
      <w:proofErr w:type="spellEnd"/>
      <w:r w:rsidR="00854F27" w:rsidRPr="00882D2B">
        <w:rPr>
          <w:i/>
          <w:lang w:val="en-IE"/>
        </w:rPr>
        <w:t>.</w:t>
      </w:r>
      <w:r w:rsidR="00854F27" w:rsidRPr="00882D2B">
        <w:rPr>
          <w:lang w:val="en-IE"/>
        </w:rPr>
        <w:t xml:space="preserve"> </w:t>
      </w:r>
      <w:r w:rsidR="00345300" w:rsidRPr="00882D2B">
        <w:rPr>
          <w:lang w:val="en-IE"/>
        </w:rPr>
        <w:t>If repeat testing is required</w:t>
      </w:r>
      <w:r w:rsidR="00854F27" w:rsidRPr="00882D2B">
        <w:rPr>
          <w:lang w:val="en-IE"/>
        </w:rPr>
        <w:t>, the eyelid should be alter</w:t>
      </w:r>
      <w:r w:rsidR="00147DF2">
        <w:rPr>
          <w:lang w:val="en-IE"/>
        </w:rPr>
        <w:t>nat</w:t>
      </w:r>
      <w:r w:rsidR="00854F27" w:rsidRPr="00882D2B">
        <w:rPr>
          <w:lang w:val="en-IE"/>
        </w:rPr>
        <w:t xml:space="preserve">ed between each </w:t>
      </w:r>
      <w:r w:rsidR="0007217D" w:rsidRPr="00882D2B">
        <w:rPr>
          <w:lang w:val="en-IE"/>
        </w:rPr>
        <w:t>test</w:t>
      </w:r>
      <w:r w:rsidR="00854F27" w:rsidRPr="00882D2B">
        <w:rPr>
          <w:lang w:val="en-IE"/>
        </w:rPr>
        <w:t>. The readings are taken at 24, 48 and 72 hours post-</w:t>
      </w:r>
      <w:r w:rsidR="00854F27" w:rsidRPr="00BA30CD">
        <w:rPr>
          <w:strike/>
          <w:highlight w:val="yellow"/>
          <w:lang w:val="en-IE"/>
        </w:rPr>
        <w:t>inoculation</w:t>
      </w:r>
      <w:r w:rsidR="00BA30CD">
        <w:rPr>
          <w:strike/>
          <w:highlight w:val="yellow"/>
          <w:lang w:val="en-IE"/>
        </w:rPr>
        <w:t xml:space="preserve"> </w:t>
      </w:r>
      <w:r w:rsidR="00580F80" w:rsidRPr="00BA30CD">
        <w:rPr>
          <w:highlight w:val="yellow"/>
          <w:u w:val="double"/>
          <w:lang w:val="en-IE"/>
        </w:rPr>
        <w:t>in</w:t>
      </w:r>
      <w:r w:rsidR="006A3EE6" w:rsidRPr="00BA30CD">
        <w:rPr>
          <w:highlight w:val="yellow"/>
          <w:u w:val="double"/>
          <w:lang w:val="en-IE"/>
        </w:rPr>
        <w:t>jection</w:t>
      </w:r>
      <w:r w:rsidR="00854F27" w:rsidRPr="00882D2B">
        <w:rPr>
          <w:lang w:val="en-IE"/>
        </w:rPr>
        <w:t>. The reactions of grade 1 and 2 are negative</w:t>
      </w:r>
      <w:r w:rsidR="00781F41" w:rsidRPr="00882D2B">
        <w:rPr>
          <w:lang w:val="en-IE"/>
        </w:rPr>
        <w:t>,</w:t>
      </w:r>
      <w:r w:rsidR="00854F27" w:rsidRPr="00882D2B">
        <w:rPr>
          <w:lang w:val="en-IE"/>
        </w:rPr>
        <w:t xml:space="preserve"> grade 3 </w:t>
      </w:r>
      <w:r w:rsidR="00055EE5" w:rsidRPr="00882D2B">
        <w:rPr>
          <w:lang w:val="en-IE"/>
        </w:rPr>
        <w:t>inconclusive</w:t>
      </w:r>
      <w:r w:rsidR="00854F27" w:rsidRPr="00882D2B">
        <w:rPr>
          <w:lang w:val="en-IE"/>
        </w:rPr>
        <w:t xml:space="preserve"> and grade</w:t>
      </w:r>
      <w:r w:rsidR="00781F41" w:rsidRPr="00882D2B">
        <w:rPr>
          <w:lang w:val="en-IE"/>
        </w:rPr>
        <w:t>s</w:t>
      </w:r>
      <w:r w:rsidR="00854F27" w:rsidRPr="00882D2B">
        <w:rPr>
          <w:lang w:val="en-IE"/>
        </w:rPr>
        <w:t xml:space="preserve"> 4 and 5 are interpreted as positive. </w:t>
      </w:r>
      <w:r w:rsidR="00BD5766" w:rsidRPr="00882D2B">
        <w:rPr>
          <w:lang w:val="en-IE"/>
        </w:rPr>
        <w:t>See also chapter 3.</w:t>
      </w:r>
      <w:r w:rsidR="00601BB0" w:rsidRPr="00882D2B">
        <w:rPr>
          <w:lang w:val="en-IE"/>
        </w:rPr>
        <w:t>10</w:t>
      </w:r>
      <w:r w:rsidR="00BD5766" w:rsidRPr="00882D2B">
        <w:rPr>
          <w:lang w:val="en-IE"/>
        </w:rPr>
        <w:t>.</w:t>
      </w:r>
      <w:r w:rsidR="00601BB0" w:rsidRPr="00882D2B">
        <w:rPr>
          <w:lang w:val="en-IE"/>
        </w:rPr>
        <w:t>10</w:t>
      </w:r>
      <w:r w:rsidR="00BD5766" w:rsidRPr="00882D2B">
        <w:rPr>
          <w:lang w:val="en-IE"/>
        </w:rPr>
        <w:t xml:space="preserve"> </w:t>
      </w:r>
      <w:r w:rsidR="00BD5766" w:rsidRPr="00882D2B">
        <w:rPr>
          <w:i/>
          <w:iCs/>
          <w:lang w:val="en-IE"/>
        </w:rPr>
        <w:t>Diseases transmissible from non-human primates</w:t>
      </w:r>
      <w:r w:rsidR="00E02EC8" w:rsidRPr="00882D2B">
        <w:rPr>
          <w:i/>
          <w:iCs/>
          <w:lang w:val="en-IE"/>
        </w:rPr>
        <w:t>.</w:t>
      </w:r>
    </w:p>
    <w:tbl>
      <w:tblPr>
        <w:tblStyle w:val="TableGrid"/>
        <w:tblW w:w="0" w:type="auto"/>
        <w:tblInd w:w="720" w:type="dxa"/>
        <w:tblLook w:val="04A0" w:firstRow="1" w:lastRow="0" w:firstColumn="1" w:lastColumn="0" w:noHBand="0" w:noVBand="1"/>
      </w:tblPr>
      <w:tblGrid>
        <w:gridCol w:w="737"/>
        <w:gridCol w:w="7604"/>
      </w:tblGrid>
      <w:tr w:rsidR="00854F27" w:rsidRPr="00882D2B" w14:paraId="0B823A03" w14:textId="77777777" w:rsidTr="002150B4">
        <w:tc>
          <w:tcPr>
            <w:tcW w:w="737" w:type="dxa"/>
          </w:tcPr>
          <w:p w14:paraId="2F97B2CA" w14:textId="77777777" w:rsidR="00854F27" w:rsidRPr="00882D2B" w:rsidRDefault="00854F27" w:rsidP="001920AE">
            <w:pPr>
              <w:pStyle w:val="111"/>
              <w:spacing w:before="60" w:after="60"/>
              <w:ind w:hanging="1418"/>
              <w:jc w:val="center"/>
              <w:rPr>
                <w:rFonts w:ascii="Arial" w:hAnsi="Arial"/>
                <w:sz w:val="18"/>
                <w:szCs w:val="18"/>
                <w:lang w:val="en-IE"/>
              </w:rPr>
            </w:pPr>
            <w:r w:rsidRPr="00882D2B">
              <w:rPr>
                <w:rFonts w:ascii="Arial" w:hAnsi="Arial"/>
                <w:sz w:val="18"/>
                <w:szCs w:val="18"/>
                <w:lang w:val="en-IE"/>
              </w:rPr>
              <w:t>Grade</w:t>
            </w:r>
          </w:p>
        </w:tc>
        <w:tc>
          <w:tcPr>
            <w:tcW w:w="7604" w:type="dxa"/>
          </w:tcPr>
          <w:p w14:paraId="69B2CD7E" w14:textId="77777777" w:rsidR="00854F27" w:rsidRPr="00882D2B" w:rsidRDefault="00854F27" w:rsidP="001920AE">
            <w:pPr>
              <w:pStyle w:val="111"/>
              <w:spacing w:before="60" w:after="60"/>
              <w:ind w:left="0" w:firstLine="0"/>
              <w:jc w:val="center"/>
              <w:rPr>
                <w:rFonts w:ascii="Arial" w:hAnsi="Arial"/>
                <w:sz w:val="18"/>
                <w:szCs w:val="18"/>
                <w:lang w:val="en-IE"/>
              </w:rPr>
            </w:pPr>
            <w:r w:rsidRPr="00882D2B">
              <w:rPr>
                <w:rFonts w:ascii="Arial" w:hAnsi="Arial"/>
                <w:sz w:val="18"/>
                <w:szCs w:val="18"/>
                <w:lang w:val="en-IE"/>
              </w:rPr>
              <w:t>Reaction</w:t>
            </w:r>
          </w:p>
        </w:tc>
      </w:tr>
      <w:tr w:rsidR="00854F27" w:rsidRPr="00882D2B" w14:paraId="6FB07943" w14:textId="77777777" w:rsidTr="002150B4">
        <w:tc>
          <w:tcPr>
            <w:tcW w:w="737" w:type="dxa"/>
          </w:tcPr>
          <w:p w14:paraId="1DF83366" w14:textId="77777777" w:rsidR="00854F27" w:rsidRPr="00882D2B" w:rsidRDefault="00854F27" w:rsidP="00A45C13">
            <w:pPr>
              <w:pStyle w:val="111"/>
              <w:spacing w:before="20" w:after="20"/>
              <w:ind w:hanging="1418"/>
              <w:jc w:val="center"/>
              <w:rPr>
                <w:rFonts w:ascii="Arial" w:hAnsi="Arial"/>
                <w:b w:val="0"/>
                <w:sz w:val="18"/>
                <w:szCs w:val="18"/>
                <w:lang w:val="en-IE"/>
              </w:rPr>
            </w:pPr>
            <w:r w:rsidRPr="00882D2B">
              <w:rPr>
                <w:rFonts w:ascii="Arial" w:hAnsi="Arial"/>
                <w:b w:val="0"/>
                <w:sz w:val="18"/>
                <w:szCs w:val="18"/>
                <w:lang w:val="en-IE"/>
              </w:rPr>
              <w:t>0</w:t>
            </w:r>
          </w:p>
        </w:tc>
        <w:tc>
          <w:tcPr>
            <w:tcW w:w="7604" w:type="dxa"/>
          </w:tcPr>
          <w:p w14:paraId="55D88D45" w14:textId="77777777" w:rsidR="00854F27" w:rsidRPr="00882D2B" w:rsidRDefault="00854F27" w:rsidP="00A45C13">
            <w:pPr>
              <w:pStyle w:val="111"/>
              <w:spacing w:before="20" w:after="20"/>
              <w:ind w:left="0" w:firstLine="0"/>
              <w:rPr>
                <w:rFonts w:ascii="Arial" w:hAnsi="Arial"/>
                <w:b w:val="0"/>
                <w:sz w:val="18"/>
                <w:szCs w:val="18"/>
                <w:lang w:val="en-IE"/>
              </w:rPr>
            </w:pPr>
            <w:r w:rsidRPr="00882D2B">
              <w:rPr>
                <w:rFonts w:ascii="Arial" w:hAnsi="Arial"/>
                <w:b w:val="0"/>
                <w:sz w:val="18"/>
                <w:szCs w:val="18"/>
                <w:lang w:val="en-IE"/>
              </w:rPr>
              <w:t>No Reaction</w:t>
            </w:r>
          </w:p>
        </w:tc>
      </w:tr>
      <w:tr w:rsidR="00854F27" w:rsidRPr="00882D2B" w14:paraId="25B3A692" w14:textId="77777777" w:rsidTr="002150B4">
        <w:tc>
          <w:tcPr>
            <w:tcW w:w="737" w:type="dxa"/>
          </w:tcPr>
          <w:p w14:paraId="60290071" w14:textId="77777777" w:rsidR="00854F27" w:rsidRPr="00882D2B" w:rsidRDefault="00854F27" w:rsidP="00A45C13">
            <w:pPr>
              <w:pStyle w:val="111"/>
              <w:spacing w:before="20" w:after="20"/>
              <w:ind w:hanging="1418"/>
              <w:jc w:val="center"/>
              <w:rPr>
                <w:rFonts w:ascii="Arial" w:hAnsi="Arial"/>
                <w:b w:val="0"/>
                <w:sz w:val="18"/>
                <w:szCs w:val="18"/>
                <w:lang w:val="en-IE"/>
              </w:rPr>
            </w:pPr>
            <w:r w:rsidRPr="00882D2B">
              <w:rPr>
                <w:rFonts w:ascii="Arial" w:hAnsi="Arial"/>
                <w:b w:val="0"/>
                <w:sz w:val="18"/>
                <w:szCs w:val="18"/>
                <w:lang w:val="en-IE"/>
              </w:rPr>
              <w:t>1</w:t>
            </w:r>
          </w:p>
        </w:tc>
        <w:tc>
          <w:tcPr>
            <w:tcW w:w="7604" w:type="dxa"/>
          </w:tcPr>
          <w:p w14:paraId="2002C7B1" w14:textId="77777777" w:rsidR="00854F27" w:rsidRPr="00882D2B" w:rsidRDefault="00854F27" w:rsidP="00A45C13">
            <w:pPr>
              <w:pStyle w:val="111"/>
              <w:spacing w:before="20" w:after="20"/>
              <w:ind w:left="0" w:firstLine="0"/>
              <w:jc w:val="both"/>
              <w:rPr>
                <w:rFonts w:ascii="Arial" w:hAnsi="Arial"/>
                <w:b w:val="0"/>
                <w:sz w:val="18"/>
                <w:szCs w:val="18"/>
                <w:lang w:val="en-IE"/>
              </w:rPr>
            </w:pPr>
            <w:r w:rsidRPr="00882D2B">
              <w:rPr>
                <w:rFonts w:ascii="Arial" w:hAnsi="Arial"/>
                <w:b w:val="0"/>
                <w:sz w:val="18"/>
                <w:szCs w:val="18"/>
                <w:lang w:val="en-IE"/>
              </w:rPr>
              <w:t>Bruise - extravasation of blood in the eyelid associated with the injection of tuberculin</w:t>
            </w:r>
          </w:p>
        </w:tc>
      </w:tr>
      <w:tr w:rsidR="00854F27" w:rsidRPr="00882D2B" w14:paraId="65E096EF" w14:textId="77777777" w:rsidTr="002150B4">
        <w:tc>
          <w:tcPr>
            <w:tcW w:w="737" w:type="dxa"/>
          </w:tcPr>
          <w:p w14:paraId="7809FDA3" w14:textId="77777777" w:rsidR="00854F27" w:rsidRPr="00882D2B" w:rsidRDefault="00854F27" w:rsidP="00A45C13">
            <w:pPr>
              <w:pStyle w:val="111"/>
              <w:spacing w:before="20" w:after="20"/>
              <w:ind w:hanging="1418"/>
              <w:jc w:val="center"/>
              <w:rPr>
                <w:rFonts w:ascii="Arial" w:hAnsi="Arial"/>
                <w:b w:val="0"/>
                <w:sz w:val="18"/>
                <w:szCs w:val="18"/>
                <w:lang w:val="en-IE"/>
              </w:rPr>
            </w:pPr>
            <w:r w:rsidRPr="00882D2B">
              <w:rPr>
                <w:rFonts w:ascii="Arial" w:hAnsi="Arial"/>
                <w:b w:val="0"/>
                <w:sz w:val="18"/>
                <w:szCs w:val="18"/>
                <w:lang w:val="en-IE"/>
              </w:rPr>
              <w:t>2</w:t>
            </w:r>
          </w:p>
        </w:tc>
        <w:tc>
          <w:tcPr>
            <w:tcW w:w="7604" w:type="dxa"/>
          </w:tcPr>
          <w:p w14:paraId="325444CF" w14:textId="77777777" w:rsidR="00854F27" w:rsidRPr="00882D2B" w:rsidRDefault="00854F27" w:rsidP="00A45C13">
            <w:pPr>
              <w:pStyle w:val="111"/>
              <w:spacing w:before="20" w:after="20"/>
              <w:ind w:left="0" w:firstLine="0"/>
              <w:jc w:val="both"/>
              <w:rPr>
                <w:rFonts w:ascii="Arial" w:hAnsi="Arial"/>
                <w:b w:val="0"/>
                <w:sz w:val="18"/>
                <w:szCs w:val="18"/>
                <w:lang w:val="en-IE"/>
              </w:rPr>
            </w:pPr>
            <w:r w:rsidRPr="00882D2B">
              <w:rPr>
                <w:rFonts w:ascii="Arial" w:hAnsi="Arial"/>
                <w:b w:val="0"/>
                <w:sz w:val="18"/>
                <w:szCs w:val="18"/>
                <w:lang w:val="en-IE"/>
              </w:rPr>
              <w:t xml:space="preserve">Varying degrees of erythema of the </w:t>
            </w:r>
            <w:proofErr w:type="spellStart"/>
            <w:r w:rsidRPr="00882D2B">
              <w:rPr>
                <w:rFonts w:ascii="Arial" w:hAnsi="Arial"/>
                <w:b w:val="0"/>
                <w:sz w:val="18"/>
                <w:szCs w:val="18"/>
                <w:lang w:val="en-IE"/>
              </w:rPr>
              <w:t>palpebrum</w:t>
            </w:r>
            <w:proofErr w:type="spellEnd"/>
          </w:p>
        </w:tc>
      </w:tr>
      <w:tr w:rsidR="00854F27" w:rsidRPr="00882D2B" w14:paraId="1B2E356B" w14:textId="77777777" w:rsidTr="002150B4">
        <w:tc>
          <w:tcPr>
            <w:tcW w:w="737" w:type="dxa"/>
          </w:tcPr>
          <w:p w14:paraId="740B3194" w14:textId="77777777" w:rsidR="00854F27" w:rsidRPr="00882D2B" w:rsidRDefault="00854F27" w:rsidP="00A45C13">
            <w:pPr>
              <w:pStyle w:val="111"/>
              <w:spacing w:before="20" w:after="20"/>
              <w:ind w:hanging="1418"/>
              <w:jc w:val="center"/>
              <w:rPr>
                <w:rFonts w:ascii="Arial" w:hAnsi="Arial"/>
                <w:b w:val="0"/>
                <w:sz w:val="18"/>
                <w:szCs w:val="18"/>
                <w:lang w:val="en-IE"/>
              </w:rPr>
            </w:pPr>
            <w:r w:rsidRPr="00882D2B">
              <w:rPr>
                <w:rFonts w:ascii="Arial" w:hAnsi="Arial"/>
                <w:b w:val="0"/>
                <w:sz w:val="18"/>
                <w:szCs w:val="18"/>
                <w:lang w:val="en-IE"/>
              </w:rPr>
              <w:t>3</w:t>
            </w:r>
          </w:p>
        </w:tc>
        <w:tc>
          <w:tcPr>
            <w:tcW w:w="7604" w:type="dxa"/>
          </w:tcPr>
          <w:p w14:paraId="6C79E40A" w14:textId="77777777" w:rsidR="00854F27" w:rsidRPr="00882D2B" w:rsidRDefault="00854F27" w:rsidP="00A45C13">
            <w:pPr>
              <w:pStyle w:val="111"/>
              <w:spacing w:before="20" w:after="20"/>
              <w:ind w:left="0" w:firstLine="0"/>
              <w:jc w:val="both"/>
              <w:rPr>
                <w:rFonts w:ascii="Arial" w:hAnsi="Arial"/>
                <w:b w:val="0"/>
                <w:sz w:val="18"/>
                <w:szCs w:val="18"/>
                <w:lang w:val="en-IE"/>
              </w:rPr>
            </w:pPr>
            <w:r w:rsidRPr="00882D2B">
              <w:rPr>
                <w:rFonts w:ascii="Arial" w:hAnsi="Arial"/>
                <w:b w:val="0"/>
                <w:sz w:val="18"/>
                <w:szCs w:val="18"/>
                <w:lang w:val="en-IE"/>
              </w:rPr>
              <w:t>Moderate swelling with or without erythema</w:t>
            </w:r>
          </w:p>
        </w:tc>
      </w:tr>
      <w:tr w:rsidR="00854F27" w:rsidRPr="00882D2B" w14:paraId="64354658" w14:textId="77777777" w:rsidTr="002150B4">
        <w:tc>
          <w:tcPr>
            <w:tcW w:w="737" w:type="dxa"/>
          </w:tcPr>
          <w:p w14:paraId="56C3FEFF" w14:textId="77777777" w:rsidR="00854F27" w:rsidRPr="00882D2B" w:rsidRDefault="00854F27" w:rsidP="00A45C13">
            <w:pPr>
              <w:pStyle w:val="111"/>
              <w:spacing w:before="20" w:after="20"/>
              <w:ind w:hanging="1418"/>
              <w:jc w:val="center"/>
              <w:rPr>
                <w:rFonts w:ascii="Arial" w:hAnsi="Arial"/>
                <w:b w:val="0"/>
                <w:sz w:val="18"/>
                <w:szCs w:val="18"/>
                <w:lang w:val="en-IE"/>
              </w:rPr>
            </w:pPr>
            <w:r w:rsidRPr="00882D2B">
              <w:rPr>
                <w:rFonts w:ascii="Arial" w:hAnsi="Arial"/>
                <w:b w:val="0"/>
                <w:sz w:val="18"/>
                <w:szCs w:val="18"/>
                <w:lang w:val="en-IE"/>
              </w:rPr>
              <w:t>4</w:t>
            </w:r>
          </w:p>
        </w:tc>
        <w:tc>
          <w:tcPr>
            <w:tcW w:w="7604" w:type="dxa"/>
          </w:tcPr>
          <w:p w14:paraId="381A4E29" w14:textId="77777777" w:rsidR="00854F27" w:rsidRPr="00882D2B" w:rsidRDefault="00854F27" w:rsidP="00A45C13">
            <w:pPr>
              <w:pStyle w:val="111"/>
              <w:spacing w:before="20" w:after="20"/>
              <w:ind w:left="0" w:firstLine="0"/>
              <w:jc w:val="both"/>
              <w:rPr>
                <w:rFonts w:ascii="Arial" w:hAnsi="Arial"/>
                <w:b w:val="0"/>
                <w:sz w:val="18"/>
                <w:szCs w:val="18"/>
                <w:lang w:val="en-IE"/>
              </w:rPr>
            </w:pPr>
            <w:r w:rsidRPr="00882D2B">
              <w:rPr>
                <w:rFonts w:ascii="Arial" w:hAnsi="Arial"/>
                <w:b w:val="0"/>
                <w:sz w:val="18"/>
                <w:szCs w:val="18"/>
                <w:lang w:val="en-IE"/>
              </w:rPr>
              <w:t xml:space="preserve">Obvious swelling of the </w:t>
            </w:r>
            <w:proofErr w:type="spellStart"/>
            <w:r w:rsidRPr="00882D2B">
              <w:rPr>
                <w:rFonts w:ascii="Arial" w:hAnsi="Arial"/>
                <w:b w:val="0"/>
                <w:sz w:val="18"/>
                <w:szCs w:val="18"/>
                <w:lang w:val="en-IE"/>
              </w:rPr>
              <w:t>palpebrum</w:t>
            </w:r>
            <w:proofErr w:type="spellEnd"/>
            <w:r w:rsidRPr="00882D2B">
              <w:rPr>
                <w:rFonts w:ascii="Arial" w:hAnsi="Arial"/>
                <w:b w:val="0"/>
                <w:sz w:val="18"/>
                <w:szCs w:val="18"/>
                <w:lang w:val="en-IE"/>
              </w:rPr>
              <w:t xml:space="preserve"> with drooping with or without erythema</w:t>
            </w:r>
          </w:p>
        </w:tc>
      </w:tr>
      <w:tr w:rsidR="00854F27" w:rsidRPr="00882D2B" w14:paraId="23229C6B" w14:textId="77777777" w:rsidTr="002150B4">
        <w:tc>
          <w:tcPr>
            <w:tcW w:w="737" w:type="dxa"/>
          </w:tcPr>
          <w:p w14:paraId="6AD89ACC" w14:textId="77777777" w:rsidR="00854F27" w:rsidRPr="00882D2B" w:rsidRDefault="00854F27" w:rsidP="00A45C13">
            <w:pPr>
              <w:pStyle w:val="111"/>
              <w:spacing w:before="20" w:after="20"/>
              <w:ind w:hanging="1418"/>
              <w:jc w:val="center"/>
              <w:rPr>
                <w:rFonts w:ascii="Arial" w:hAnsi="Arial"/>
                <w:b w:val="0"/>
                <w:sz w:val="18"/>
                <w:szCs w:val="18"/>
                <w:lang w:val="en-IE"/>
              </w:rPr>
            </w:pPr>
            <w:r w:rsidRPr="00882D2B">
              <w:rPr>
                <w:rFonts w:ascii="Arial" w:hAnsi="Arial"/>
                <w:b w:val="0"/>
                <w:sz w:val="18"/>
                <w:szCs w:val="18"/>
                <w:lang w:val="en-IE"/>
              </w:rPr>
              <w:t>5</w:t>
            </w:r>
          </w:p>
        </w:tc>
        <w:tc>
          <w:tcPr>
            <w:tcW w:w="7604" w:type="dxa"/>
          </w:tcPr>
          <w:p w14:paraId="12B7757B" w14:textId="77777777" w:rsidR="00854F27" w:rsidRPr="00882D2B" w:rsidRDefault="00854F27" w:rsidP="00A45C13">
            <w:pPr>
              <w:pStyle w:val="111"/>
              <w:spacing w:before="20" w:after="20"/>
              <w:ind w:left="0" w:firstLine="0"/>
              <w:jc w:val="both"/>
              <w:rPr>
                <w:rFonts w:ascii="Arial" w:hAnsi="Arial"/>
                <w:b w:val="0"/>
                <w:sz w:val="18"/>
                <w:szCs w:val="18"/>
                <w:lang w:val="en-IE"/>
              </w:rPr>
            </w:pPr>
            <w:r w:rsidRPr="00882D2B">
              <w:rPr>
                <w:rFonts w:ascii="Arial" w:hAnsi="Arial"/>
                <w:b w:val="0"/>
                <w:sz w:val="18"/>
                <w:szCs w:val="18"/>
                <w:lang w:val="en-IE"/>
              </w:rPr>
              <w:t>Necrosis of the eyelid with varying degrees of swelling, including eyelid partially or completely closed</w:t>
            </w:r>
          </w:p>
        </w:tc>
      </w:tr>
    </w:tbl>
    <w:p w14:paraId="4251B2E8" w14:textId="033B2D33" w:rsidR="00854F27" w:rsidRPr="00882D2B" w:rsidRDefault="00DA3DF3" w:rsidP="001920AE">
      <w:pPr>
        <w:pStyle w:val="111Para"/>
        <w:spacing w:before="240"/>
        <w:rPr>
          <w:b/>
          <w:lang w:val="en-IE"/>
        </w:rPr>
      </w:pPr>
      <w:r w:rsidRPr="00882D2B">
        <w:rPr>
          <w:lang w:val="en-IE"/>
        </w:rPr>
        <w:t>I</w:t>
      </w:r>
      <w:r w:rsidR="00854F27" w:rsidRPr="00882D2B">
        <w:rPr>
          <w:lang w:val="en-IE"/>
        </w:rPr>
        <w:t xml:space="preserve">ntradermal tuberculin tests </w:t>
      </w:r>
      <w:r w:rsidRPr="00882D2B">
        <w:rPr>
          <w:lang w:val="en-IE"/>
        </w:rPr>
        <w:t>are not recommended for use in elephants due to a</w:t>
      </w:r>
      <w:r w:rsidR="00854F27" w:rsidRPr="00882D2B">
        <w:rPr>
          <w:lang w:val="en-IE"/>
        </w:rPr>
        <w:t xml:space="preserve"> high false-negative </w:t>
      </w:r>
      <w:r w:rsidRPr="00882D2B">
        <w:rPr>
          <w:lang w:val="en-IE"/>
        </w:rPr>
        <w:t>rate</w:t>
      </w:r>
      <w:r w:rsidR="00854F27" w:rsidRPr="00882D2B">
        <w:rPr>
          <w:lang w:val="en-IE"/>
        </w:rPr>
        <w:t xml:space="preserve"> in culture-positive animals.</w:t>
      </w:r>
    </w:p>
    <w:p w14:paraId="2C3DF31A" w14:textId="70A9908E" w:rsidR="0033362B" w:rsidRPr="00882D2B" w:rsidRDefault="00275B71" w:rsidP="00275B71">
      <w:pPr>
        <w:pStyle w:val="11"/>
        <w:rPr>
          <w:lang w:val="en-IE"/>
        </w:rPr>
      </w:pPr>
      <w:r w:rsidRPr="00882D2B">
        <w:rPr>
          <w:lang w:val="en-IE"/>
        </w:rPr>
        <w:t>2.</w:t>
      </w:r>
      <w:r w:rsidR="00854F27" w:rsidRPr="00882D2B">
        <w:rPr>
          <w:lang w:val="en-IE"/>
        </w:rPr>
        <w:t>3</w:t>
      </w:r>
      <w:r w:rsidRPr="00882D2B">
        <w:rPr>
          <w:lang w:val="en-IE"/>
        </w:rPr>
        <w:t>.</w:t>
      </w:r>
      <w:r w:rsidRPr="00882D2B">
        <w:rPr>
          <w:lang w:val="en-IE"/>
        </w:rPr>
        <w:tab/>
        <w:t>Defined antigen skin tests</w:t>
      </w:r>
    </w:p>
    <w:p w14:paraId="0ECC5100" w14:textId="72BE4254" w:rsidR="0033362B" w:rsidRPr="00882D2B" w:rsidRDefault="0033362B" w:rsidP="007C326F">
      <w:pPr>
        <w:pStyle w:val="11Para"/>
        <w:ind w:left="810"/>
        <w:rPr>
          <w:lang w:val="en-IE"/>
        </w:rPr>
      </w:pPr>
      <w:r w:rsidRPr="00882D2B">
        <w:rPr>
          <w:lang w:val="en-IE"/>
        </w:rPr>
        <w:t xml:space="preserve">Research directed toward identification and characterisation of the key antigenic components of field isolates of </w:t>
      </w:r>
      <w:r w:rsidRPr="00882D2B">
        <w:rPr>
          <w:i/>
          <w:iCs/>
          <w:lang w:val="en-IE"/>
        </w:rPr>
        <w:t>M.</w:t>
      </w:r>
      <w:r w:rsidR="004E0B26" w:rsidRPr="00882D2B">
        <w:rPr>
          <w:i/>
          <w:iCs/>
          <w:lang w:val="en-IE"/>
        </w:rPr>
        <w:t> </w:t>
      </w:r>
      <w:proofErr w:type="spellStart"/>
      <w:r w:rsidRPr="00882D2B">
        <w:rPr>
          <w:i/>
          <w:iCs/>
          <w:lang w:val="en-IE"/>
        </w:rPr>
        <w:t>bovis</w:t>
      </w:r>
      <w:proofErr w:type="spellEnd"/>
      <w:r w:rsidRPr="00882D2B">
        <w:rPr>
          <w:lang w:val="en-IE"/>
        </w:rPr>
        <w:t xml:space="preserve"> and BCG vaccine strains has led to development of skin tests and blood tests that are based on detection of responses to </w:t>
      </w:r>
      <w:r w:rsidR="003A3410" w:rsidRPr="00882D2B">
        <w:rPr>
          <w:lang w:val="en-IE"/>
        </w:rPr>
        <w:t xml:space="preserve">molecularly </w:t>
      </w:r>
      <w:r w:rsidRPr="00882D2B">
        <w:rPr>
          <w:lang w:val="en-IE"/>
        </w:rPr>
        <w:t>defined antigens (</w:t>
      </w:r>
      <w:r w:rsidR="007C326F" w:rsidRPr="00882D2B">
        <w:rPr>
          <w:lang w:val="en-IE"/>
        </w:rPr>
        <w:t>Middleton</w:t>
      </w:r>
      <w:r w:rsidR="00571270" w:rsidRPr="00882D2B">
        <w:rPr>
          <w:lang w:val="en-IE"/>
        </w:rPr>
        <w:t xml:space="preserve"> </w:t>
      </w:r>
      <w:r w:rsidR="007C326F" w:rsidRPr="00882D2B">
        <w:rPr>
          <w:i/>
          <w:iCs/>
          <w:lang w:val="en-IE"/>
        </w:rPr>
        <w:t>et al</w:t>
      </w:r>
      <w:r w:rsidR="00246AE2" w:rsidRPr="00882D2B">
        <w:rPr>
          <w:i/>
          <w:iCs/>
          <w:lang w:val="en-IE"/>
        </w:rPr>
        <w:t>.</w:t>
      </w:r>
      <w:r w:rsidR="007C326F" w:rsidRPr="00882D2B">
        <w:rPr>
          <w:lang w:val="en-IE"/>
        </w:rPr>
        <w:t>, 2021</w:t>
      </w:r>
      <w:r w:rsidRPr="00882D2B">
        <w:rPr>
          <w:lang w:val="en-IE"/>
        </w:rPr>
        <w:t>)</w:t>
      </w:r>
      <w:r w:rsidRPr="00882D2B">
        <w:rPr>
          <w:i/>
          <w:iCs/>
          <w:lang w:val="en-IE"/>
        </w:rPr>
        <w:t>.</w:t>
      </w:r>
      <w:r w:rsidR="00140119" w:rsidRPr="00882D2B">
        <w:rPr>
          <w:lang w:val="en-IE"/>
        </w:rPr>
        <w:t xml:space="preserve"> </w:t>
      </w:r>
      <w:r w:rsidRPr="00882D2B">
        <w:rPr>
          <w:lang w:val="en-IE"/>
        </w:rPr>
        <w:t xml:space="preserve">These defined antigen diagnostic tests could potentially be utilised on their own or in combination with other tests, including conventional PPD tuberculin tests, to improve diagnostic sensitivity or specificity, as well as to help differentiate </w:t>
      </w:r>
      <w:r w:rsidR="00EB77B9">
        <w:rPr>
          <w:i/>
          <w:iCs/>
          <w:lang w:val="en-IE"/>
        </w:rPr>
        <w:t>M. </w:t>
      </w:r>
      <w:proofErr w:type="spellStart"/>
      <w:r w:rsidRPr="00882D2B">
        <w:rPr>
          <w:i/>
          <w:iCs/>
          <w:lang w:val="en-IE"/>
        </w:rPr>
        <w:t>bovis</w:t>
      </w:r>
      <w:proofErr w:type="spellEnd"/>
      <w:r w:rsidR="006E119D" w:rsidRPr="00882D2B">
        <w:rPr>
          <w:i/>
          <w:iCs/>
          <w:lang w:val="en-IE"/>
        </w:rPr>
        <w:t>-</w:t>
      </w:r>
      <w:r w:rsidRPr="00882D2B">
        <w:rPr>
          <w:lang w:val="en-IE"/>
        </w:rPr>
        <w:t>infected animals from those which have been vaccinated or exposed to environmental mycobacteria</w:t>
      </w:r>
      <w:r w:rsidR="000479BB" w:rsidRPr="00882D2B">
        <w:rPr>
          <w:lang w:val="en-IE"/>
        </w:rPr>
        <w:t xml:space="preserve"> (Srinivasan </w:t>
      </w:r>
      <w:r w:rsidR="000479BB" w:rsidRPr="00882D2B">
        <w:rPr>
          <w:i/>
          <w:iCs/>
          <w:lang w:val="en-IE"/>
        </w:rPr>
        <w:t>et al.,</w:t>
      </w:r>
      <w:r w:rsidR="000479BB" w:rsidRPr="00882D2B">
        <w:rPr>
          <w:lang w:val="en-IE"/>
        </w:rPr>
        <w:t xml:space="preserve"> 2019)</w:t>
      </w:r>
      <w:r w:rsidR="00385343" w:rsidRPr="00882D2B">
        <w:rPr>
          <w:lang w:val="en-IE"/>
        </w:rPr>
        <w:t>.</w:t>
      </w:r>
      <w:r w:rsidR="006B263A">
        <w:rPr>
          <w:lang w:val="en-IE"/>
        </w:rPr>
        <w:t xml:space="preserve"> </w:t>
      </w:r>
    </w:p>
    <w:p w14:paraId="5261BEAC" w14:textId="77777777" w:rsidR="0015316B" w:rsidRPr="00882D2B" w:rsidRDefault="0015316B" w:rsidP="006A4712">
      <w:pPr>
        <w:pStyle w:val="1"/>
        <w:rPr>
          <w:lang w:val="en-IE"/>
        </w:rPr>
      </w:pPr>
      <w:r w:rsidRPr="00882D2B">
        <w:rPr>
          <w:lang w:val="en-IE"/>
        </w:rPr>
        <w:t>3.</w:t>
      </w:r>
      <w:r w:rsidRPr="00882D2B">
        <w:rPr>
          <w:lang w:val="en-IE"/>
        </w:rPr>
        <w:tab/>
        <w:t>Blood-based laboratory tests</w:t>
      </w:r>
    </w:p>
    <w:p w14:paraId="0ADCA9B3" w14:textId="526DD449" w:rsidR="0015316B" w:rsidRPr="00882D2B" w:rsidRDefault="0015316B" w:rsidP="006A4712">
      <w:pPr>
        <w:pStyle w:val="para1"/>
        <w:rPr>
          <w:strike/>
          <w:lang w:val="en-IE"/>
        </w:rPr>
      </w:pPr>
      <w:r w:rsidRPr="00882D2B">
        <w:rPr>
          <w:lang w:val="en-IE"/>
        </w:rPr>
        <w:t xml:space="preserve">Besides the intradermal tuberculin test, a number of blood tests </w:t>
      </w:r>
      <w:r w:rsidR="000479BB" w:rsidRPr="00882D2B">
        <w:rPr>
          <w:lang w:val="en-IE"/>
        </w:rPr>
        <w:t xml:space="preserve">that measure </w:t>
      </w:r>
      <w:r w:rsidR="00272660" w:rsidRPr="00882D2B">
        <w:rPr>
          <w:lang w:val="en-IE"/>
        </w:rPr>
        <w:t>cellular or humoral</w:t>
      </w:r>
      <w:r w:rsidR="000479BB" w:rsidRPr="00882D2B">
        <w:rPr>
          <w:lang w:val="en-IE"/>
        </w:rPr>
        <w:t xml:space="preserve"> immune responses of animals to </w:t>
      </w:r>
      <w:r w:rsidR="00272660" w:rsidRPr="00882D2B">
        <w:rPr>
          <w:lang w:val="en-IE"/>
        </w:rPr>
        <w:t>MTBC</w:t>
      </w:r>
      <w:r w:rsidR="000479BB" w:rsidRPr="00882D2B">
        <w:rPr>
          <w:lang w:val="en-IE"/>
        </w:rPr>
        <w:t xml:space="preserve"> </w:t>
      </w:r>
      <w:r w:rsidRPr="00882D2B">
        <w:rPr>
          <w:lang w:val="en-IE"/>
        </w:rPr>
        <w:t xml:space="preserve">have been </w:t>
      </w:r>
      <w:r w:rsidR="00272660" w:rsidRPr="00882D2B">
        <w:rPr>
          <w:lang w:val="en-IE"/>
        </w:rPr>
        <w:t>developed</w:t>
      </w:r>
      <w:r w:rsidRPr="00882D2B">
        <w:rPr>
          <w:lang w:val="en-IE"/>
        </w:rPr>
        <w:t>.</w:t>
      </w:r>
      <w:r w:rsidR="00140119" w:rsidRPr="00882D2B">
        <w:rPr>
          <w:lang w:val="en-IE"/>
        </w:rPr>
        <w:t xml:space="preserve"> </w:t>
      </w:r>
      <w:r w:rsidRPr="00882D2B">
        <w:rPr>
          <w:lang w:val="en-IE"/>
        </w:rPr>
        <w:t xml:space="preserve">Due to cost and </w:t>
      </w:r>
      <w:r w:rsidR="009F028E" w:rsidRPr="00882D2B">
        <w:rPr>
          <w:lang w:val="en-IE"/>
        </w:rPr>
        <w:t xml:space="preserve">or </w:t>
      </w:r>
      <w:r w:rsidR="00272660" w:rsidRPr="00882D2B">
        <w:rPr>
          <w:lang w:val="en-IE"/>
        </w:rPr>
        <w:t>complexity</w:t>
      </w:r>
      <w:r w:rsidRPr="00882D2B">
        <w:rPr>
          <w:lang w:val="en-IE"/>
        </w:rPr>
        <w:t xml:space="preserve"> </w:t>
      </w:r>
      <w:r w:rsidR="009F028E" w:rsidRPr="00882D2B">
        <w:rPr>
          <w:lang w:val="en-IE"/>
        </w:rPr>
        <w:t xml:space="preserve">considerations </w:t>
      </w:r>
      <w:r w:rsidR="00272660" w:rsidRPr="00882D2B">
        <w:rPr>
          <w:lang w:val="en-IE"/>
        </w:rPr>
        <w:t xml:space="preserve">these </w:t>
      </w:r>
      <w:r w:rsidRPr="00882D2B">
        <w:rPr>
          <w:lang w:val="en-IE"/>
        </w:rPr>
        <w:t>laboratory-based assays</w:t>
      </w:r>
      <w:r w:rsidR="0071475C" w:rsidRPr="00882D2B">
        <w:rPr>
          <w:lang w:val="en-IE"/>
        </w:rPr>
        <w:t xml:space="preserve"> </w:t>
      </w:r>
      <w:r w:rsidRPr="00882D2B">
        <w:rPr>
          <w:lang w:val="en-IE"/>
        </w:rPr>
        <w:t xml:space="preserve">are </w:t>
      </w:r>
      <w:r w:rsidR="00272660" w:rsidRPr="00882D2B">
        <w:rPr>
          <w:lang w:val="en-IE"/>
        </w:rPr>
        <w:t>often</w:t>
      </w:r>
      <w:r w:rsidRPr="00882D2B">
        <w:rPr>
          <w:lang w:val="en-IE"/>
        </w:rPr>
        <w:t xml:space="preserve"> used as ancillary </w:t>
      </w:r>
      <w:r w:rsidR="00272660" w:rsidRPr="00882D2B">
        <w:rPr>
          <w:lang w:val="en-IE"/>
        </w:rPr>
        <w:t>tests</w:t>
      </w:r>
      <w:r w:rsidRPr="00882D2B">
        <w:rPr>
          <w:lang w:val="en-IE"/>
        </w:rPr>
        <w:t xml:space="preserve"> </w:t>
      </w:r>
      <w:r w:rsidR="009F028E" w:rsidRPr="00882D2B">
        <w:rPr>
          <w:lang w:val="en-IE"/>
        </w:rPr>
        <w:t>to</w:t>
      </w:r>
      <w:r w:rsidR="00272660" w:rsidRPr="00882D2B">
        <w:rPr>
          <w:lang w:val="en-IE"/>
        </w:rPr>
        <w:t xml:space="preserve"> improve </w:t>
      </w:r>
      <w:r w:rsidRPr="00882D2B">
        <w:rPr>
          <w:lang w:val="en-IE"/>
        </w:rPr>
        <w:t>detection of infected animals (parallel testing), or to confirm results of an intra-dermal skin test (serial testing).</w:t>
      </w:r>
      <w:r w:rsidR="00140119" w:rsidRPr="00882D2B">
        <w:rPr>
          <w:lang w:val="en-IE"/>
        </w:rPr>
        <w:t xml:space="preserve"> </w:t>
      </w:r>
      <w:r w:rsidR="00272660" w:rsidRPr="00882D2B">
        <w:rPr>
          <w:lang w:val="en-IE"/>
        </w:rPr>
        <w:t>Administration of tuberculin skin tests</w:t>
      </w:r>
      <w:r w:rsidRPr="00882D2B">
        <w:rPr>
          <w:lang w:val="en-IE"/>
        </w:rPr>
        <w:t xml:space="preserve"> </w:t>
      </w:r>
      <w:r w:rsidR="00272660" w:rsidRPr="00882D2B">
        <w:rPr>
          <w:lang w:val="en-IE"/>
        </w:rPr>
        <w:t xml:space="preserve">is known to </w:t>
      </w:r>
      <w:r w:rsidRPr="00882D2B">
        <w:rPr>
          <w:lang w:val="en-IE"/>
        </w:rPr>
        <w:t>enhance</w:t>
      </w:r>
      <w:r w:rsidR="00272660" w:rsidRPr="00882D2B">
        <w:rPr>
          <w:lang w:val="en-IE"/>
        </w:rPr>
        <w:t xml:space="preserve"> </w:t>
      </w:r>
      <w:r w:rsidR="002E4385">
        <w:rPr>
          <w:lang w:val="en-IE"/>
        </w:rPr>
        <w:t>the</w:t>
      </w:r>
      <w:r w:rsidR="00DA2D26">
        <w:rPr>
          <w:lang w:val="en-IE"/>
        </w:rPr>
        <w:t xml:space="preserve"> </w:t>
      </w:r>
      <w:r w:rsidR="00272660" w:rsidRPr="00882D2B">
        <w:rPr>
          <w:lang w:val="en-IE"/>
        </w:rPr>
        <w:t>sensitivity of</w:t>
      </w:r>
      <w:r w:rsidRPr="00882D2B">
        <w:rPr>
          <w:lang w:val="en-IE"/>
        </w:rPr>
        <w:t xml:space="preserve"> </w:t>
      </w:r>
      <w:r w:rsidR="00FC7487" w:rsidRPr="00882D2B">
        <w:rPr>
          <w:lang w:val="en-IE"/>
        </w:rPr>
        <w:t>antibody-based</w:t>
      </w:r>
      <w:r w:rsidR="00272660" w:rsidRPr="00882D2B">
        <w:rPr>
          <w:lang w:val="en-IE"/>
        </w:rPr>
        <w:t xml:space="preserve"> </w:t>
      </w:r>
      <w:r w:rsidRPr="00882D2B">
        <w:rPr>
          <w:lang w:val="en-IE"/>
        </w:rPr>
        <w:t>test</w:t>
      </w:r>
      <w:r w:rsidR="00272660" w:rsidRPr="00882D2B">
        <w:rPr>
          <w:lang w:val="en-IE"/>
        </w:rPr>
        <w:t>s</w:t>
      </w:r>
      <w:r w:rsidR="00DE5576">
        <w:rPr>
          <w:lang w:val="en-IE"/>
        </w:rPr>
        <w:t>,</w:t>
      </w:r>
      <w:r w:rsidR="00DE5576" w:rsidRPr="00882D2B">
        <w:rPr>
          <w:lang w:val="en-IE"/>
        </w:rPr>
        <w:t xml:space="preserve"> </w:t>
      </w:r>
      <w:r w:rsidR="00DE5576">
        <w:rPr>
          <w:lang w:val="en-IE"/>
        </w:rPr>
        <w:t>if ser</w:t>
      </w:r>
      <w:r w:rsidR="002B11B2">
        <w:rPr>
          <w:lang w:val="en-IE"/>
        </w:rPr>
        <w:t>um</w:t>
      </w:r>
      <w:r w:rsidR="00DE5576">
        <w:rPr>
          <w:lang w:val="en-IE"/>
        </w:rPr>
        <w:t xml:space="preserve"> is taken between 2-8 weeks after skin testing</w:t>
      </w:r>
      <w:r w:rsidR="00FE1648">
        <w:rPr>
          <w:lang w:val="en-IE"/>
        </w:rPr>
        <w:t>,</w:t>
      </w:r>
      <w:r w:rsidRPr="00882D2B">
        <w:rPr>
          <w:lang w:val="en-IE"/>
        </w:rPr>
        <w:t xml:space="preserve"> leading to greater test accuracy. </w:t>
      </w:r>
      <w:r w:rsidR="00D33750" w:rsidRPr="00882D2B">
        <w:rPr>
          <w:lang w:val="en-IE"/>
        </w:rPr>
        <w:t xml:space="preserve">The </w:t>
      </w:r>
      <w:r w:rsidR="004C1E9A">
        <w:rPr>
          <w:lang w:val="en-IE"/>
        </w:rPr>
        <w:t>IGRA</w:t>
      </w:r>
      <w:r w:rsidR="00D33750" w:rsidRPr="00882D2B">
        <w:rPr>
          <w:lang w:val="en-IE"/>
        </w:rPr>
        <w:t xml:space="preserve"> measures </w:t>
      </w:r>
      <w:r w:rsidRPr="00882D2B">
        <w:rPr>
          <w:lang w:val="en-IE"/>
        </w:rPr>
        <w:t xml:space="preserve">cellular immunity while humoral </w:t>
      </w:r>
      <w:r w:rsidR="00297311" w:rsidRPr="00882D2B">
        <w:rPr>
          <w:lang w:val="en-IE"/>
        </w:rPr>
        <w:t>antibodies are</w:t>
      </w:r>
      <w:r w:rsidRPr="00882D2B">
        <w:rPr>
          <w:lang w:val="en-IE"/>
        </w:rPr>
        <w:t xml:space="preserve"> measured by </w:t>
      </w:r>
      <w:r w:rsidR="00B01431">
        <w:rPr>
          <w:lang w:val="en-IE"/>
        </w:rPr>
        <w:t>serol</w:t>
      </w:r>
      <w:r w:rsidR="00093B5F">
        <w:rPr>
          <w:lang w:val="en-IE"/>
        </w:rPr>
        <w:t>ogical methods</w:t>
      </w:r>
      <w:r w:rsidR="00331394">
        <w:rPr>
          <w:lang w:val="en-IE"/>
        </w:rPr>
        <w:t xml:space="preserve"> such as ELISA and lateral flow assays</w:t>
      </w:r>
      <w:r w:rsidR="001846CD" w:rsidRPr="00882D2B">
        <w:rPr>
          <w:lang w:val="en-IE"/>
        </w:rPr>
        <w:t>.</w:t>
      </w:r>
    </w:p>
    <w:p w14:paraId="4E66EA01" w14:textId="5C3EF3E4" w:rsidR="0015316B" w:rsidRPr="00882D2B" w:rsidRDefault="0015316B" w:rsidP="00846462">
      <w:pPr>
        <w:pStyle w:val="11"/>
        <w:rPr>
          <w:lang w:val="en-IE"/>
        </w:rPr>
      </w:pPr>
      <w:r w:rsidRPr="00882D2B">
        <w:rPr>
          <w:lang w:val="en-IE"/>
        </w:rPr>
        <w:t>3.1.</w:t>
      </w:r>
      <w:r w:rsidRPr="00882D2B">
        <w:rPr>
          <w:lang w:val="en-IE"/>
        </w:rPr>
        <w:tab/>
      </w:r>
      <w:r w:rsidR="00E96642">
        <w:rPr>
          <w:lang w:val="en-IE"/>
        </w:rPr>
        <w:t>I</w:t>
      </w:r>
      <w:r w:rsidRPr="00882D2B">
        <w:rPr>
          <w:lang w:val="en-IE"/>
        </w:rPr>
        <w:t>nterferon</w:t>
      </w:r>
      <w:r w:rsidR="00E96642">
        <w:rPr>
          <w:lang w:val="en-IE"/>
        </w:rPr>
        <w:t>-gamma</w:t>
      </w:r>
      <w:r w:rsidRPr="00882D2B">
        <w:rPr>
          <w:lang w:val="en-IE"/>
        </w:rPr>
        <w:t xml:space="preserve"> </w:t>
      </w:r>
      <w:r w:rsidR="00951619">
        <w:rPr>
          <w:lang w:val="en-IE"/>
        </w:rPr>
        <w:t xml:space="preserve">release </w:t>
      </w:r>
      <w:r w:rsidRPr="00882D2B">
        <w:rPr>
          <w:lang w:val="en-IE"/>
        </w:rPr>
        <w:t xml:space="preserve">assay </w:t>
      </w:r>
      <w:r w:rsidR="001B5056">
        <w:rPr>
          <w:lang w:val="en-IE"/>
        </w:rPr>
        <w:t>(IGRA)</w:t>
      </w:r>
    </w:p>
    <w:p w14:paraId="5D2C081F" w14:textId="761EA221" w:rsidR="0015316B" w:rsidRPr="00882D2B" w:rsidRDefault="0015316B" w:rsidP="00846462">
      <w:pPr>
        <w:pStyle w:val="11Para"/>
        <w:rPr>
          <w:lang w:val="en-IE"/>
        </w:rPr>
      </w:pPr>
      <w:r w:rsidRPr="00882D2B">
        <w:rPr>
          <w:lang w:val="en-IE"/>
        </w:rPr>
        <w:t xml:space="preserve">In this test, the release of a lymphokine gamma interferon is measured in a whole-blood culture system. The assay is based on the release of </w:t>
      </w:r>
      <w:r w:rsidR="00E96642">
        <w:rPr>
          <w:lang w:val="en-IE"/>
        </w:rPr>
        <w:t>interferon-gamma</w:t>
      </w:r>
      <w:r w:rsidRPr="00882D2B">
        <w:rPr>
          <w:lang w:val="en-IE"/>
        </w:rPr>
        <w:t xml:space="preserve"> from sensitised lymphocytes during a 16–24-hour incubation period with specific antigen (PPD-tuberculin) (Wood </w:t>
      </w:r>
      <w:r w:rsidRPr="00882D2B">
        <w:rPr>
          <w:i/>
          <w:iCs/>
          <w:lang w:val="en-IE"/>
        </w:rPr>
        <w:t>et al</w:t>
      </w:r>
      <w:r w:rsidRPr="00882D2B">
        <w:rPr>
          <w:lang w:val="en-IE"/>
        </w:rPr>
        <w:t xml:space="preserve">., 1990). The test makes use of the comparison of </w:t>
      </w:r>
      <w:r w:rsidR="00E96642">
        <w:rPr>
          <w:lang w:val="en-IE"/>
        </w:rPr>
        <w:t>interferon-gamma</w:t>
      </w:r>
      <w:r w:rsidR="00E96642" w:rsidRPr="00882D2B">
        <w:rPr>
          <w:lang w:val="en-IE"/>
        </w:rPr>
        <w:t xml:space="preserve"> </w:t>
      </w:r>
      <w:r w:rsidRPr="00882D2B">
        <w:rPr>
          <w:lang w:val="en-IE"/>
        </w:rPr>
        <w:t xml:space="preserve">production following stimulation with avian and bovine PPD. The detection of </w:t>
      </w:r>
      <w:r w:rsidRPr="00BA30CD">
        <w:rPr>
          <w:strike/>
          <w:highlight w:val="yellow"/>
          <w:lang w:val="en-IE"/>
        </w:rPr>
        <w:t>bovine</w:t>
      </w:r>
      <w:r w:rsidRPr="00BA30CD">
        <w:rPr>
          <w:strike/>
          <w:lang w:val="en-IE"/>
        </w:rPr>
        <w:t xml:space="preserve"> </w:t>
      </w:r>
      <w:r w:rsidR="00E96642">
        <w:rPr>
          <w:lang w:val="en-IE"/>
        </w:rPr>
        <w:t>interferon-gamma</w:t>
      </w:r>
      <w:r w:rsidR="00E96642" w:rsidRPr="00882D2B">
        <w:rPr>
          <w:lang w:val="en-IE"/>
        </w:rPr>
        <w:t xml:space="preserve"> </w:t>
      </w:r>
      <w:r w:rsidRPr="00882D2B">
        <w:rPr>
          <w:lang w:val="en-IE"/>
        </w:rPr>
        <w:t xml:space="preserve">is carried out with a sandwich ELISA that uses two monoclonal antibodies to bovine </w:t>
      </w:r>
      <w:r w:rsidR="001B5056">
        <w:rPr>
          <w:lang w:val="en-IE"/>
        </w:rPr>
        <w:t>interferon-gamma</w:t>
      </w:r>
      <w:r w:rsidRPr="00882D2B">
        <w:rPr>
          <w:lang w:val="en-IE"/>
        </w:rPr>
        <w:t xml:space="preserve">. It is recommended that the blood samples be transported to the laboratory </w:t>
      </w:r>
      <w:r w:rsidR="0064070F" w:rsidRPr="00BA30CD">
        <w:rPr>
          <w:highlight w:val="yellow"/>
          <w:u w:val="double"/>
          <w:lang w:val="en-IE"/>
        </w:rPr>
        <w:t>avoiding extreme temperatures</w:t>
      </w:r>
      <w:r w:rsidR="00B313E6" w:rsidRPr="00BA30CD">
        <w:rPr>
          <w:highlight w:val="yellow"/>
          <w:u w:val="double"/>
          <w:lang w:val="en-IE"/>
        </w:rPr>
        <w:t xml:space="preserve"> (</w:t>
      </w:r>
      <w:r w:rsidR="007F74FA" w:rsidRPr="00BA30CD">
        <w:rPr>
          <w:highlight w:val="yellow"/>
          <w:u w:val="double"/>
          <w:lang w:val="en-IE"/>
        </w:rPr>
        <w:t>e.g.</w:t>
      </w:r>
      <w:r w:rsidR="00B313E6" w:rsidRPr="00BA30CD">
        <w:rPr>
          <w:highlight w:val="yellow"/>
          <w:u w:val="double"/>
          <w:lang w:val="en-IE"/>
        </w:rPr>
        <w:t xml:space="preserve"> a range of 17</w:t>
      </w:r>
      <w:r w:rsidR="00BA30CD">
        <w:rPr>
          <w:highlight w:val="yellow"/>
          <w:u w:val="double"/>
          <w:lang w:val="en-IE"/>
        </w:rPr>
        <w:t>–</w:t>
      </w:r>
      <w:r w:rsidR="00B313E6" w:rsidRPr="00BA30CD">
        <w:rPr>
          <w:highlight w:val="yellow"/>
          <w:u w:val="double"/>
          <w:lang w:val="en-IE"/>
        </w:rPr>
        <w:t>27°C</w:t>
      </w:r>
      <w:r w:rsidR="009A7952" w:rsidRPr="00BA30CD">
        <w:rPr>
          <w:highlight w:val="yellow"/>
          <w:u w:val="double"/>
          <w:lang w:val="en-IE"/>
        </w:rPr>
        <w:t>)</w:t>
      </w:r>
      <w:r w:rsidR="009A7952">
        <w:rPr>
          <w:lang w:val="en-IE"/>
        </w:rPr>
        <w:t xml:space="preserve"> </w:t>
      </w:r>
      <w:r w:rsidRPr="00882D2B">
        <w:rPr>
          <w:lang w:val="en-IE"/>
        </w:rPr>
        <w:t xml:space="preserve">and the assay set up as soon as practical, but not later than the day after blood collection (Coad </w:t>
      </w:r>
      <w:r w:rsidRPr="00882D2B">
        <w:rPr>
          <w:i/>
          <w:iCs/>
          <w:lang w:val="en-IE"/>
        </w:rPr>
        <w:t>et al</w:t>
      </w:r>
      <w:r w:rsidRPr="00882D2B">
        <w:rPr>
          <w:lang w:val="en-IE"/>
        </w:rPr>
        <w:t>., 2007). In some areas, especially where ‘non</w:t>
      </w:r>
      <w:r w:rsidR="00AD46F6" w:rsidRPr="00882D2B">
        <w:rPr>
          <w:lang w:val="en-IE"/>
        </w:rPr>
        <w:t>-</w:t>
      </w:r>
      <w:r w:rsidRPr="00882D2B">
        <w:rPr>
          <w:lang w:val="en-IE"/>
        </w:rPr>
        <w:t>specificity’ is prevalent, some concerns about the accuracy have been expressed</w:t>
      </w:r>
      <w:r w:rsidR="00F64CB6" w:rsidRPr="00F64CB6">
        <w:rPr>
          <w:lang w:val="en-IE"/>
        </w:rPr>
        <w:t xml:space="preserve"> </w:t>
      </w:r>
      <w:r w:rsidR="00F64CB6">
        <w:rPr>
          <w:lang w:val="en-IE"/>
        </w:rPr>
        <w:t>when blood stimulation is performed with PPDs</w:t>
      </w:r>
      <w:r w:rsidRPr="00882D2B">
        <w:rPr>
          <w:lang w:val="en-IE"/>
        </w:rPr>
        <w:t xml:space="preserve">. However, because of the </w:t>
      </w:r>
      <w:r w:rsidR="008E7BF8" w:rsidRPr="00882D2B">
        <w:rPr>
          <w:lang w:val="en-IE"/>
        </w:rPr>
        <w:t xml:space="preserve">capability of the </w:t>
      </w:r>
      <w:r w:rsidR="001B5056">
        <w:rPr>
          <w:lang w:val="en-IE"/>
        </w:rPr>
        <w:t>IGRA</w:t>
      </w:r>
      <w:r w:rsidRPr="00882D2B">
        <w:rPr>
          <w:lang w:val="en-IE"/>
        </w:rPr>
        <w:t xml:space="preserve"> </w:t>
      </w:r>
      <w:r w:rsidR="008E7BF8" w:rsidRPr="00882D2B">
        <w:rPr>
          <w:lang w:val="en-IE"/>
        </w:rPr>
        <w:t>to</w:t>
      </w:r>
      <w:r w:rsidR="00A554FF" w:rsidRPr="00882D2B">
        <w:rPr>
          <w:lang w:val="en-IE"/>
        </w:rPr>
        <w:t xml:space="preserve"> </w:t>
      </w:r>
      <w:r w:rsidRPr="00882D2B">
        <w:rPr>
          <w:lang w:val="en-IE"/>
        </w:rPr>
        <w:t xml:space="preserve">detect early infections, the use of both </w:t>
      </w:r>
      <w:r w:rsidR="001B5056">
        <w:rPr>
          <w:lang w:val="en-IE"/>
        </w:rPr>
        <w:t>IGRA</w:t>
      </w:r>
      <w:r w:rsidRPr="00882D2B">
        <w:rPr>
          <w:lang w:val="en-IE"/>
        </w:rPr>
        <w:t xml:space="preserve"> and </w:t>
      </w:r>
      <w:r w:rsidR="0047365E" w:rsidRPr="00882D2B">
        <w:rPr>
          <w:lang w:val="en-IE"/>
        </w:rPr>
        <w:t>skin</w:t>
      </w:r>
      <w:r w:rsidRPr="00882D2B">
        <w:rPr>
          <w:lang w:val="en-IE"/>
        </w:rPr>
        <w:t xml:space="preserve"> tests in parallel allows detection of a greater number of infected animals before they become a source of infection for other animals</w:t>
      </w:r>
      <w:r w:rsidR="00815CB5" w:rsidRPr="00882D2B">
        <w:rPr>
          <w:lang w:val="en-IE"/>
        </w:rPr>
        <w:t>,</w:t>
      </w:r>
      <w:r w:rsidRPr="00882D2B">
        <w:rPr>
          <w:lang w:val="en-IE"/>
        </w:rPr>
        <w:t xml:space="preserve"> as well as a source of contamination of the environment (Gormley </w:t>
      </w:r>
      <w:r w:rsidRPr="00882D2B">
        <w:rPr>
          <w:i/>
          <w:iCs/>
          <w:lang w:val="en-IE"/>
        </w:rPr>
        <w:t>et al</w:t>
      </w:r>
      <w:r w:rsidRPr="00882D2B">
        <w:rPr>
          <w:lang w:val="en-IE"/>
        </w:rPr>
        <w:t xml:space="preserve">., 2006). </w:t>
      </w:r>
      <w:r w:rsidR="00D33750" w:rsidRPr="00882D2B">
        <w:rPr>
          <w:lang w:val="en-IE"/>
        </w:rPr>
        <w:t>The use of defined mycobacterial antigens such as ESAT</w:t>
      </w:r>
      <w:r w:rsidR="004475EB">
        <w:rPr>
          <w:lang w:val="en-IE"/>
        </w:rPr>
        <w:t>-</w:t>
      </w:r>
      <w:r w:rsidR="00D33750" w:rsidRPr="00882D2B">
        <w:rPr>
          <w:lang w:val="en-IE"/>
        </w:rPr>
        <w:t xml:space="preserve">6 and CFP-10 </w:t>
      </w:r>
      <w:r w:rsidR="00DB3A71">
        <w:rPr>
          <w:lang w:val="en-IE"/>
        </w:rPr>
        <w:t xml:space="preserve">can </w:t>
      </w:r>
      <w:r w:rsidR="00D33750" w:rsidRPr="00882D2B">
        <w:rPr>
          <w:lang w:val="en-IE"/>
        </w:rPr>
        <w:t>improve</w:t>
      </w:r>
      <w:r w:rsidR="00DB3A71">
        <w:rPr>
          <w:lang w:val="en-IE"/>
        </w:rPr>
        <w:t xml:space="preserve"> the</w:t>
      </w:r>
      <w:r w:rsidR="00D33750" w:rsidRPr="00882D2B">
        <w:rPr>
          <w:lang w:val="en-IE"/>
        </w:rPr>
        <w:t xml:space="preserve"> specificity (Buddle </w:t>
      </w:r>
      <w:r w:rsidR="00D33750" w:rsidRPr="00882D2B">
        <w:rPr>
          <w:i/>
          <w:iCs/>
          <w:lang w:val="en-IE"/>
        </w:rPr>
        <w:t>et al</w:t>
      </w:r>
      <w:r w:rsidR="00D33750" w:rsidRPr="00882D2B">
        <w:rPr>
          <w:lang w:val="en-IE"/>
        </w:rPr>
        <w:t xml:space="preserve">., 2001), and </w:t>
      </w:r>
      <w:r w:rsidRPr="00882D2B">
        <w:rPr>
          <w:lang w:val="en-IE"/>
        </w:rPr>
        <w:t>these antigens are employed in a number of countries such as the United Kingdom</w:t>
      </w:r>
      <w:r w:rsidR="00412211">
        <w:rPr>
          <w:lang w:val="en-IE"/>
        </w:rPr>
        <w:t>,</w:t>
      </w:r>
      <w:r w:rsidRPr="00882D2B">
        <w:rPr>
          <w:lang w:val="en-IE"/>
        </w:rPr>
        <w:t xml:space="preserve"> New Zealand </w:t>
      </w:r>
      <w:r w:rsidR="00412211" w:rsidRPr="00882D2B">
        <w:rPr>
          <w:lang w:val="en-IE"/>
        </w:rPr>
        <w:t xml:space="preserve">and </w:t>
      </w:r>
      <w:r w:rsidR="00412211">
        <w:rPr>
          <w:lang w:val="en-IE"/>
        </w:rPr>
        <w:t xml:space="preserve">France </w:t>
      </w:r>
      <w:r w:rsidRPr="00882D2B">
        <w:rPr>
          <w:lang w:val="en-IE"/>
        </w:rPr>
        <w:t>for serial testing. The use of such antigens may also offer the ability to differentiate BCG-vaccinated from unvaccinated animals. In animals that are</w:t>
      </w:r>
      <w:r w:rsidR="004929A5">
        <w:rPr>
          <w:lang w:val="en-IE"/>
        </w:rPr>
        <w:t xml:space="preserve"> excitable,</w:t>
      </w:r>
      <w:r w:rsidRPr="00882D2B">
        <w:rPr>
          <w:lang w:val="en-IE"/>
        </w:rPr>
        <w:t xml:space="preserve"> difficult or dangerous to handle</w:t>
      </w:r>
      <w:r w:rsidR="00D33750" w:rsidRPr="00882D2B">
        <w:rPr>
          <w:lang w:val="en-IE"/>
        </w:rPr>
        <w:t xml:space="preserve">, the </w:t>
      </w:r>
      <w:r w:rsidRPr="00882D2B">
        <w:rPr>
          <w:lang w:val="en-IE"/>
        </w:rPr>
        <w:t xml:space="preserve">advantage of the </w:t>
      </w:r>
      <w:r w:rsidR="001B5056">
        <w:rPr>
          <w:lang w:val="en-IE"/>
        </w:rPr>
        <w:t>IGRA</w:t>
      </w:r>
      <w:r w:rsidRPr="00882D2B">
        <w:rPr>
          <w:lang w:val="en-IE"/>
        </w:rPr>
        <w:t xml:space="preserve"> over the skin test is that the animals need be captured only once. The </w:t>
      </w:r>
      <w:r w:rsidR="001B5056">
        <w:rPr>
          <w:lang w:val="en-IE"/>
        </w:rPr>
        <w:t>IGRA</w:t>
      </w:r>
      <w:r w:rsidRPr="00882D2B">
        <w:rPr>
          <w:lang w:val="en-IE"/>
        </w:rPr>
        <w:t xml:space="preserve"> has been approved for use in a number of national programmes including </w:t>
      </w:r>
      <w:r w:rsidRPr="00206330">
        <w:rPr>
          <w:strike/>
          <w:lang w:val="en-IE"/>
        </w:rPr>
        <w:t xml:space="preserve">in </w:t>
      </w:r>
      <w:r w:rsidRPr="00882D2B">
        <w:rPr>
          <w:lang w:val="en-IE"/>
        </w:rPr>
        <w:t xml:space="preserve">the EU, </w:t>
      </w:r>
      <w:r w:rsidR="00F70ADD" w:rsidRPr="00BA30CD">
        <w:rPr>
          <w:highlight w:val="yellow"/>
          <w:u w:val="double"/>
          <w:lang w:val="en-IE"/>
        </w:rPr>
        <w:t>UK,</w:t>
      </w:r>
      <w:r w:rsidR="00F70ADD">
        <w:rPr>
          <w:lang w:val="en-IE"/>
        </w:rPr>
        <w:t xml:space="preserve"> </w:t>
      </w:r>
      <w:r w:rsidRPr="00882D2B">
        <w:rPr>
          <w:lang w:val="en-IE"/>
        </w:rPr>
        <w:t xml:space="preserve">USA, New Zealand, and Australia. In New Zealand and the United Kingdom for example, the </w:t>
      </w:r>
      <w:r w:rsidR="001B5056">
        <w:rPr>
          <w:lang w:val="en-IE"/>
        </w:rPr>
        <w:t>IGRA</w:t>
      </w:r>
      <w:r w:rsidRPr="00882D2B">
        <w:rPr>
          <w:lang w:val="en-IE"/>
        </w:rPr>
        <w:t xml:space="preserve"> is used for serial testing (to enhance specificity) and parallel testing (to enhance sensitivity). The test is available as commercial kits for bovine species and primates; however it has been validated in only a few species.</w:t>
      </w:r>
    </w:p>
    <w:p w14:paraId="33A1EA23" w14:textId="77777777" w:rsidR="001B5056" w:rsidRPr="00363329" w:rsidRDefault="001B5056" w:rsidP="001B5056">
      <w:pPr>
        <w:pStyle w:val="11"/>
        <w:spacing w:before="240"/>
      </w:pPr>
      <w:r w:rsidRPr="00882D2B">
        <w:rPr>
          <w:lang w:val="en-IE"/>
        </w:rPr>
        <w:t>3.2.</w:t>
      </w:r>
      <w:r>
        <w:rPr>
          <w:lang w:val="en-IE"/>
        </w:rPr>
        <w:tab/>
        <w:t>Serology for detection of specific antibodies</w:t>
      </w:r>
    </w:p>
    <w:p w14:paraId="65A004BF" w14:textId="11BCB9E8" w:rsidR="001B5056" w:rsidRPr="007E5AED" w:rsidRDefault="001B5056" w:rsidP="00B112EF">
      <w:pPr>
        <w:pStyle w:val="11Para"/>
        <w:rPr>
          <w:lang w:val="en-IE"/>
        </w:rPr>
      </w:pPr>
      <w:r>
        <w:rPr>
          <w:lang w:val="en-IE"/>
        </w:rPr>
        <w:t xml:space="preserve">The </w:t>
      </w:r>
      <w:r w:rsidR="00AB3C58">
        <w:rPr>
          <w:lang w:val="en-IE"/>
        </w:rPr>
        <w:t>application</w:t>
      </w:r>
      <w:r>
        <w:rPr>
          <w:lang w:val="en-IE"/>
        </w:rPr>
        <w:t xml:space="preserve"> of serological </w:t>
      </w:r>
      <w:r w:rsidR="009B40C7">
        <w:rPr>
          <w:lang w:val="en-IE"/>
        </w:rPr>
        <w:t>assays</w:t>
      </w:r>
      <w:r>
        <w:rPr>
          <w:lang w:val="en-IE"/>
        </w:rPr>
        <w:t xml:space="preserve"> for diagnosis </w:t>
      </w:r>
      <w:r w:rsidR="009B40C7">
        <w:rPr>
          <w:lang w:val="en-IE"/>
        </w:rPr>
        <w:t xml:space="preserve">of tuberculosis </w:t>
      </w:r>
      <w:r>
        <w:rPr>
          <w:lang w:val="en-IE"/>
        </w:rPr>
        <w:t xml:space="preserve">in animals has increased in the </w:t>
      </w:r>
      <w:r w:rsidR="00CA6CEB">
        <w:rPr>
          <w:lang w:val="en-IE"/>
        </w:rPr>
        <w:t>21st century</w:t>
      </w:r>
      <w:r>
        <w:rPr>
          <w:lang w:val="en-IE"/>
        </w:rPr>
        <w:t xml:space="preserve">. </w:t>
      </w:r>
      <w:r w:rsidRPr="00882D2B">
        <w:rPr>
          <w:lang w:val="en-IE"/>
        </w:rPr>
        <w:t xml:space="preserve">ELISA </w:t>
      </w:r>
      <w:r>
        <w:rPr>
          <w:lang w:val="en-IE"/>
        </w:rPr>
        <w:t xml:space="preserve">is the most widespread technique, however alternative serological platforms have been </w:t>
      </w:r>
      <w:r w:rsidRPr="007E5AED">
        <w:rPr>
          <w:lang w:val="en-IE"/>
        </w:rPr>
        <w:t xml:space="preserve">developed (e.g. lateral flow tests, a multi-antigen print immunoassay or a multiplex chemiluminescent assay) (Bezos </w:t>
      </w:r>
      <w:r w:rsidRPr="007E5AED">
        <w:rPr>
          <w:i/>
          <w:lang w:val="en-IE"/>
        </w:rPr>
        <w:t>et al</w:t>
      </w:r>
      <w:r w:rsidRPr="007E5AED">
        <w:rPr>
          <w:lang w:val="en-IE"/>
        </w:rPr>
        <w:t xml:space="preserve">., 2014). Serological </w:t>
      </w:r>
      <w:r w:rsidR="00D85FDE">
        <w:rPr>
          <w:lang w:val="en-IE"/>
        </w:rPr>
        <w:t>assay</w:t>
      </w:r>
      <w:r w:rsidR="00BE262C">
        <w:rPr>
          <w:lang w:val="en-IE"/>
        </w:rPr>
        <w:t>s</w:t>
      </w:r>
      <w:r w:rsidRPr="007E5AED">
        <w:rPr>
          <w:lang w:val="en-IE"/>
        </w:rPr>
        <w:t xml:space="preserve"> have been proposed as a valuable ancillary diagnostic tool to complement cell-based </w:t>
      </w:r>
      <w:r w:rsidR="00BE262C">
        <w:rPr>
          <w:lang w:val="en-IE"/>
        </w:rPr>
        <w:t>methods</w:t>
      </w:r>
      <w:r w:rsidRPr="007E5AED">
        <w:rPr>
          <w:lang w:val="en-IE"/>
        </w:rPr>
        <w:t xml:space="preserve">, increasing the detection of infected animals and helping to control tuberculosis in domestic and wild animals (Casal </w:t>
      </w:r>
      <w:r w:rsidRPr="007E5AED">
        <w:rPr>
          <w:i/>
          <w:lang w:val="en-IE"/>
        </w:rPr>
        <w:t>et al</w:t>
      </w:r>
      <w:r w:rsidRPr="007E5AED">
        <w:rPr>
          <w:lang w:val="en-IE"/>
        </w:rPr>
        <w:t xml:space="preserve">., 2017; Thomas </w:t>
      </w:r>
      <w:r w:rsidR="00B112EF">
        <w:rPr>
          <w:smallCaps/>
          <w:lang w:val="en-IE"/>
        </w:rPr>
        <w:t xml:space="preserve">&amp; </w:t>
      </w:r>
      <w:r w:rsidR="00B112EF" w:rsidRPr="00B112EF">
        <w:rPr>
          <w:lang w:val="en-IE"/>
        </w:rPr>
        <w:t>Chambers</w:t>
      </w:r>
      <w:r w:rsidRPr="007E5AED">
        <w:rPr>
          <w:lang w:val="en-IE"/>
        </w:rPr>
        <w:t xml:space="preserve">, 2021). </w:t>
      </w:r>
      <w:r w:rsidR="0000272D" w:rsidRPr="00BA30CD">
        <w:rPr>
          <w:highlight w:val="yellow"/>
          <w:u w:val="double"/>
          <w:lang w:val="en-IE"/>
        </w:rPr>
        <w:t xml:space="preserve">In </w:t>
      </w:r>
      <w:r w:rsidR="007F74FA" w:rsidRPr="00BA30CD">
        <w:rPr>
          <w:highlight w:val="yellow"/>
          <w:u w:val="double"/>
          <w:lang w:val="en-IE"/>
        </w:rPr>
        <w:t xml:space="preserve">camelids </w:t>
      </w:r>
      <w:r w:rsidR="0000272D" w:rsidRPr="00BA30CD">
        <w:rPr>
          <w:highlight w:val="yellow"/>
          <w:u w:val="double"/>
          <w:lang w:val="en-IE"/>
        </w:rPr>
        <w:t>it is recommended to us</w:t>
      </w:r>
      <w:r w:rsidR="002B37FC" w:rsidRPr="00BA30CD">
        <w:rPr>
          <w:highlight w:val="yellow"/>
          <w:u w:val="double"/>
          <w:lang w:val="en-IE"/>
        </w:rPr>
        <w:t xml:space="preserve">e </w:t>
      </w:r>
      <w:r w:rsidR="0008420C" w:rsidRPr="00BA30CD">
        <w:rPr>
          <w:highlight w:val="yellow"/>
          <w:u w:val="double"/>
          <w:lang w:val="en-IE"/>
        </w:rPr>
        <w:t xml:space="preserve">serology </w:t>
      </w:r>
      <w:r w:rsidR="002B37FC" w:rsidRPr="00BA30CD">
        <w:rPr>
          <w:highlight w:val="yellow"/>
          <w:u w:val="double"/>
          <w:lang w:val="en-IE"/>
        </w:rPr>
        <w:t>as a complementary test to the skin test and 15 to 30 days after skin testing.</w:t>
      </w:r>
      <w:r w:rsidR="002B37FC" w:rsidRPr="007F74FA">
        <w:rPr>
          <w:lang w:val="en-IE"/>
        </w:rPr>
        <w:t xml:space="preserve"> </w:t>
      </w:r>
      <w:r w:rsidRPr="007E5AED">
        <w:rPr>
          <w:lang w:val="en-IE"/>
        </w:rPr>
        <w:t xml:space="preserve">The advantages of these tests are their simplicity, low cost and lower logistical demands compared, for example, with the </w:t>
      </w:r>
      <w:r>
        <w:rPr>
          <w:lang w:val="en-IE"/>
        </w:rPr>
        <w:t>IGRA</w:t>
      </w:r>
      <w:r w:rsidRPr="007E5AED">
        <w:rPr>
          <w:lang w:val="en-IE"/>
        </w:rPr>
        <w:t xml:space="preserve">, as they do not require immunological stimulation with antigens, and samples can be stored for a prolonged time before processing. These tests could be especially helpful for detecting anergic animals that do not respond </w:t>
      </w:r>
      <w:r w:rsidR="00A94C54">
        <w:rPr>
          <w:lang w:val="en-IE"/>
        </w:rPr>
        <w:t>well</w:t>
      </w:r>
      <w:r w:rsidRPr="007E5AED">
        <w:rPr>
          <w:lang w:val="en-IE"/>
        </w:rPr>
        <w:t xml:space="preserve"> to cell-based immune techniques. Their sensitivity, however, is lower than cell-based tests, particularly in recently infected animals, increasing in advanced stages of the disease. The use of combinations of specific antigens such as MPB83, MPB70, ESAT-6 and CFP-10 has been demonstrated to increase the sensitivity and specificity of serological tests (Thomas </w:t>
      </w:r>
      <w:r w:rsidR="00B112EF">
        <w:rPr>
          <w:smallCaps/>
          <w:lang w:val="en-IE"/>
        </w:rPr>
        <w:t xml:space="preserve">&amp; </w:t>
      </w:r>
      <w:r w:rsidR="00B112EF" w:rsidRPr="00B112EF">
        <w:rPr>
          <w:lang w:val="en-IE"/>
        </w:rPr>
        <w:t>Chambers</w:t>
      </w:r>
      <w:r w:rsidR="00F668BA">
        <w:rPr>
          <w:lang w:val="en-IE"/>
        </w:rPr>
        <w:t>,</w:t>
      </w:r>
      <w:r w:rsidRPr="007E5AED">
        <w:rPr>
          <w:lang w:val="en-IE"/>
        </w:rPr>
        <w:t xml:space="preserve"> 2021). </w:t>
      </w:r>
    </w:p>
    <w:p w14:paraId="46E310E4" w14:textId="6F179CBF" w:rsidR="001B5056" w:rsidRPr="00A36410" w:rsidRDefault="001B5056" w:rsidP="001B5056">
      <w:pPr>
        <w:pStyle w:val="11Para"/>
        <w:rPr>
          <w:lang w:val="en-IE"/>
        </w:rPr>
      </w:pPr>
      <w:r w:rsidRPr="00A36410">
        <w:rPr>
          <w:lang w:val="en-IE"/>
        </w:rPr>
        <w:t xml:space="preserve">In recent years, new antibody detection tests using different methodologies have also demonstrated better performance than </w:t>
      </w:r>
      <w:r w:rsidR="00CA6CEB">
        <w:rPr>
          <w:lang w:val="en-IE"/>
        </w:rPr>
        <w:t>skin tests</w:t>
      </w:r>
      <w:r w:rsidRPr="00A36410">
        <w:rPr>
          <w:lang w:val="en-IE"/>
        </w:rPr>
        <w:t xml:space="preserve"> in wildlife (wild boar, deer, badgers) and domestic animals (cattle, sheep, goats, alpacas, pigs). Examples include the P22 ELISA</w:t>
      </w:r>
      <w:r w:rsidRPr="00A36410">
        <w:t xml:space="preserve"> </w:t>
      </w:r>
      <w:r w:rsidRPr="00A36410">
        <w:rPr>
          <w:lang w:val="en-IE"/>
        </w:rPr>
        <w:t>based on a multiprotein complex named P22 obtained by affinity chromatography from PPD</w:t>
      </w:r>
      <w:r w:rsidR="0005147A">
        <w:rPr>
          <w:lang w:val="en-IE"/>
        </w:rPr>
        <w:t>-B</w:t>
      </w:r>
      <w:r w:rsidRPr="00A36410">
        <w:rPr>
          <w:lang w:val="en-IE"/>
        </w:rPr>
        <w:t xml:space="preserve">, or </w:t>
      </w:r>
      <w:r w:rsidR="0005147A">
        <w:rPr>
          <w:lang w:val="en-IE"/>
        </w:rPr>
        <w:t xml:space="preserve">a </w:t>
      </w:r>
      <w:r w:rsidRPr="00A36410">
        <w:rPr>
          <w:lang w:val="en-IE"/>
        </w:rPr>
        <w:t>double-recognition ELISA that detects specific antibodies against MPB83</w:t>
      </w:r>
      <w:r w:rsidR="0005147A">
        <w:rPr>
          <w:lang w:val="en-IE"/>
        </w:rPr>
        <w:t>,</w:t>
      </w:r>
      <w:r w:rsidRPr="00A36410">
        <w:rPr>
          <w:lang w:val="en-IE"/>
        </w:rPr>
        <w:t xml:space="preserve"> using MPB83 protein as both an antigen coating the plate and as a conjugate (Cardoso-Toset </w:t>
      </w:r>
      <w:r w:rsidRPr="00A36410">
        <w:rPr>
          <w:i/>
          <w:lang w:val="en-IE"/>
        </w:rPr>
        <w:t>et al</w:t>
      </w:r>
      <w:r w:rsidRPr="00A36410">
        <w:rPr>
          <w:lang w:val="en-IE"/>
        </w:rPr>
        <w:t xml:space="preserve">., 2017; Casal </w:t>
      </w:r>
      <w:r w:rsidRPr="00A36410">
        <w:rPr>
          <w:i/>
          <w:lang w:val="en-IE"/>
        </w:rPr>
        <w:t>et al</w:t>
      </w:r>
      <w:r w:rsidRPr="00A36410">
        <w:rPr>
          <w:lang w:val="en-IE"/>
        </w:rPr>
        <w:t xml:space="preserve">., 2017; Infantes-Lorenzo </w:t>
      </w:r>
      <w:r w:rsidRPr="00A36410">
        <w:rPr>
          <w:i/>
          <w:lang w:val="en-IE"/>
        </w:rPr>
        <w:t>et al</w:t>
      </w:r>
      <w:r w:rsidRPr="00A36410">
        <w:rPr>
          <w:lang w:val="en-IE"/>
        </w:rPr>
        <w:t xml:space="preserve">., 2019). Moreover, the booster effect observed on the antibody titres caused by a recent intradermal tuberculin test in </w:t>
      </w:r>
      <w:r w:rsidR="0005147A">
        <w:rPr>
          <w:lang w:val="en-IE"/>
        </w:rPr>
        <w:t>MTBC</w:t>
      </w:r>
      <w:r w:rsidRPr="00A36410">
        <w:rPr>
          <w:lang w:val="en-IE"/>
        </w:rPr>
        <w:t xml:space="preserve">-infected animals can be used as an valuable diagnostic strategy to increase the sensitivity of serological tests </w:t>
      </w:r>
      <w:r w:rsidRPr="00A36410">
        <w:t>at 15–30 days</w:t>
      </w:r>
      <w:r w:rsidRPr="00A36410">
        <w:rPr>
          <w:lang w:val="en-IE"/>
        </w:rPr>
        <w:t xml:space="preserve"> after PPD </w:t>
      </w:r>
      <w:r w:rsidR="001843E6" w:rsidRPr="001843E6">
        <w:rPr>
          <w:strike/>
          <w:highlight w:val="yellow"/>
          <w:lang w:val="en-IE"/>
        </w:rPr>
        <w:t xml:space="preserve">inoculation </w:t>
      </w:r>
      <w:r w:rsidRPr="001843E6">
        <w:rPr>
          <w:highlight w:val="yellow"/>
          <w:u w:val="double"/>
          <w:lang w:val="en-IE"/>
        </w:rPr>
        <w:t>in</w:t>
      </w:r>
      <w:r w:rsidR="000F6D34" w:rsidRPr="001843E6">
        <w:rPr>
          <w:highlight w:val="yellow"/>
          <w:u w:val="double"/>
          <w:lang w:val="en-IE"/>
        </w:rPr>
        <w:t>jec</w:t>
      </w:r>
      <w:r w:rsidRPr="001843E6">
        <w:rPr>
          <w:highlight w:val="yellow"/>
          <w:u w:val="double"/>
          <w:lang w:val="en-IE"/>
        </w:rPr>
        <w:t>tion</w:t>
      </w:r>
      <w:r w:rsidRPr="00A36410">
        <w:rPr>
          <w:lang w:val="en-IE"/>
        </w:rPr>
        <w:t xml:space="preserve"> (Casal </w:t>
      </w:r>
      <w:r w:rsidRPr="00A36410">
        <w:rPr>
          <w:i/>
          <w:iCs/>
          <w:lang w:val="en-IE"/>
        </w:rPr>
        <w:t>et al</w:t>
      </w:r>
      <w:r w:rsidRPr="00A36410">
        <w:rPr>
          <w:lang w:val="en-IE"/>
        </w:rPr>
        <w:t>., 2014).</w:t>
      </w:r>
    </w:p>
    <w:p w14:paraId="100BDE30" w14:textId="2BCE5F59" w:rsidR="001B5056" w:rsidRPr="007E5AED" w:rsidRDefault="001B5056" w:rsidP="001B5056">
      <w:pPr>
        <w:pStyle w:val="11Para"/>
        <w:rPr>
          <w:lang w:val="en-IE"/>
        </w:rPr>
      </w:pPr>
      <w:r w:rsidRPr="007E5AED">
        <w:rPr>
          <w:lang w:val="en-IE"/>
        </w:rPr>
        <w:t xml:space="preserve">Serological tests are valuable for detecting </w:t>
      </w:r>
      <w:r w:rsidRPr="007E5AED">
        <w:rPr>
          <w:iCs/>
          <w:lang w:val="en-IE"/>
        </w:rPr>
        <w:t>MTB</w:t>
      </w:r>
      <w:r w:rsidR="0005147A">
        <w:rPr>
          <w:iCs/>
          <w:lang w:val="en-IE"/>
        </w:rPr>
        <w:t>C</w:t>
      </w:r>
      <w:r w:rsidRPr="007E5AED">
        <w:rPr>
          <w:lang w:val="en-IE"/>
        </w:rPr>
        <w:t xml:space="preserve"> infections in wildlife. </w:t>
      </w:r>
      <w:r w:rsidR="0005147A">
        <w:rPr>
          <w:lang w:val="en-IE"/>
        </w:rPr>
        <w:t>A l</w:t>
      </w:r>
      <w:r w:rsidRPr="007E5AED">
        <w:rPr>
          <w:lang w:val="en-IE"/>
        </w:rPr>
        <w:t xml:space="preserve">ateral flow test </w:t>
      </w:r>
      <w:r w:rsidRPr="00A36410">
        <w:rPr>
          <w:lang w:val="en-IE"/>
        </w:rPr>
        <w:t>based on MPB83 protein and CFP10/ESAT-6 fusion protein, ha</w:t>
      </w:r>
      <w:r w:rsidR="0005147A">
        <w:rPr>
          <w:lang w:val="en-IE"/>
        </w:rPr>
        <w:t>s</w:t>
      </w:r>
      <w:r w:rsidRPr="00A36410">
        <w:rPr>
          <w:lang w:val="en-IE"/>
        </w:rPr>
        <w:t xml:space="preserve"> been shown to be useful for detecting infection in domestic animals, but particularly in wildlife and zoo animals because </w:t>
      </w:r>
      <w:r w:rsidR="0005147A">
        <w:rPr>
          <w:lang w:val="en-IE"/>
        </w:rPr>
        <w:t>it</w:t>
      </w:r>
      <w:r>
        <w:rPr>
          <w:lang w:val="en-IE"/>
        </w:rPr>
        <w:t xml:space="preserve"> </w:t>
      </w:r>
      <w:r w:rsidR="00926267">
        <w:rPr>
          <w:lang w:val="en-IE"/>
        </w:rPr>
        <w:t xml:space="preserve">is </w:t>
      </w:r>
      <w:r>
        <w:rPr>
          <w:lang w:val="en-IE"/>
        </w:rPr>
        <w:t>easy</w:t>
      </w:r>
      <w:r w:rsidRPr="007E5AED">
        <w:rPr>
          <w:lang w:val="en-IE"/>
        </w:rPr>
        <w:t xml:space="preserve"> to perform and </w:t>
      </w:r>
      <w:r>
        <w:rPr>
          <w:lang w:val="en-IE"/>
        </w:rPr>
        <w:t>give</w:t>
      </w:r>
      <w:r w:rsidR="0005147A">
        <w:rPr>
          <w:lang w:val="en-IE"/>
        </w:rPr>
        <w:t>s</w:t>
      </w:r>
      <w:r>
        <w:rPr>
          <w:lang w:val="en-IE"/>
        </w:rPr>
        <w:t xml:space="preserve"> </w:t>
      </w:r>
      <w:r w:rsidRPr="007E5AED">
        <w:rPr>
          <w:lang w:val="en-IE"/>
        </w:rPr>
        <w:t>immediate test results</w:t>
      </w:r>
      <w:r>
        <w:rPr>
          <w:lang w:val="en-IE"/>
        </w:rPr>
        <w:t xml:space="preserve">. </w:t>
      </w:r>
      <w:r w:rsidRPr="007E5AED">
        <w:rPr>
          <w:lang w:val="en-IE"/>
        </w:rPr>
        <w:t>Although their sensitivity is limited</w:t>
      </w:r>
      <w:r>
        <w:rPr>
          <w:lang w:val="en-IE"/>
        </w:rPr>
        <w:t>, the</w:t>
      </w:r>
      <w:r w:rsidR="0005147A">
        <w:rPr>
          <w:lang w:val="en-IE"/>
        </w:rPr>
        <w:t>se methods</w:t>
      </w:r>
      <w:r>
        <w:rPr>
          <w:lang w:val="en-IE"/>
        </w:rPr>
        <w:t xml:space="preserve"> are useful</w:t>
      </w:r>
      <w:r w:rsidRPr="007E5AED">
        <w:rPr>
          <w:lang w:val="en-IE"/>
        </w:rPr>
        <w:t xml:space="preserve"> where no cell-based tests are available and where skin testing has proven unreliable, (Greenwald </w:t>
      </w:r>
      <w:r w:rsidRPr="007E5AED">
        <w:rPr>
          <w:i/>
          <w:iCs/>
          <w:lang w:val="en-IE"/>
        </w:rPr>
        <w:t>et al</w:t>
      </w:r>
      <w:r w:rsidRPr="007E5AED">
        <w:rPr>
          <w:lang w:val="en-IE"/>
        </w:rPr>
        <w:t xml:space="preserve">., 2009; </w:t>
      </w:r>
      <w:proofErr w:type="spellStart"/>
      <w:r w:rsidRPr="007E5AED">
        <w:rPr>
          <w:lang w:val="en-IE"/>
        </w:rPr>
        <w:t>Lyashchenko</w:t>
      </w:r>
      <w:proofErr w:type="spellEnd"/>
      <w:r w:rsidRPr="007E5AED">
        <w:rPr>
          <w:lang w:val="en-IE"/>
        </w:rPr>
        <w:t xml:space="preserve"> </w:t>
      </w:r>
      <w:r w:rsidRPr="007E5AED">
        <w:rPr>
          <w:i/>
          <w:iCs/>
          <w:lang w:val="en-IE"/>
        </w:rPr>
        <w:t>et al</w:t>
      </w:r>
      <w:r w:rsidRPr="007E5AED">
        <w:rPr>
          <w:lang w:val="en-IE"/>
        </w:rPr>
        <w:t xml:space="preserve">., 2008; Thomas </w:t>
      </w:r>
      <w:r w:rsidR="00B112EF">
        <w:rPr>
          <w:smallCaps/>
          <w:lang w:val="en-IE"/>
        </w:rPr>
        <w:t xml:space="preserve">&amp; </w:t>
      </w:r>
      <w:r w:rsidR="00B112EF" w:rsidRPr="00B112EF">
        <w:rPr>
          <w:lang w:val="en-IE"/>
        </w:rPr>
        <w:t>Chambers</w:t>
      </w:r>
      <w:r w:rsidR="00B112EF">
        <w:rPr>
          <w:lang w:val="en-IE"/>
        </w:rPr>
        <w:t>,</w:t>
      </w:r>
      <w:r w:rsidR="00B112EF" w:rsidRPr="007E5AED">
        <w:rPr>
          <w:lang w:val="en-IE"/>
        </w:rPr>
        <w:t xml:space="preserve"> </w:t>
      </w:r>
      <w:r w:rsidRPr="007E5AED">
        <w:rPr>
          <w:lang w:val="en-IE"/>
        </w:rPr>
        <w:t xml:space="preserve">2021). </w:t>
      </w:r>
    </w:p>
    <w:p w14:paraId="53A33AA4" w14:textId="6B32506E" w:rsidR="00466B66" w:rsidRPr="00882D2B" w:rsidRDefault="00C35961" w:rsidP="00466B66">
      <w:pPr>
        <w:pStyle w:val="11Para"/>
        <w:spacing w:after="480"/>
        <w:rPr>
          <w:b/>
          <w:bCs/>
          <w:lang w:val="en-IE"/>
        </w:rPr>
      </w:pPr>
      <w:r w:rsidRPr="00882D2B">
        <w:rPr>
          <w:lang w:val="en-IE"/>
        </w:rPr>
        <w:t>The OIE has evaluated a number of tests</w:t>
      </w:r>
      <w:r w:rsidR="0034476A" w:rsidRPr="00882D2B">
        <w:rPr>
          <w:lang w:val="en-IE"/>
        </w:rPr>
        <w:t xml:space="preserve"> for use in cattle serum and plasma as supplemental </w:t>
      </w:r>
      <w:r w:rsidR="00D00BDA" w:rsidRPr="00882D2B">
        <w:rPr>
          <w:lang w:val="en-IE"/>
        </w:rPr>
        <w:t>tools</w:t>
      </w:r>
      <w:r w:rsidR="00690680" w:rsidRPr="00882D2B">
        <w:rPr>
          <w:lang w:val="en-IE"/>
        </w:rPr>
        <w:t>,</w:t>
      </w:r>
      <w:r w:rsidR="0034476A" w:rsidRPr="00882D2B">
        <w:rPr>
          <w:lang w:val="en-IE"/>
        </w:rPr>
        <w:t xml:space="preserve"> together with other methods, for diagnosing and managing tuberculosis infection</w:t>
      </w:r>
      <w:r w:rsidR="00690680" w:rsidRPr="00882D2B">
        <w:rPr>
          <w:lang w:val="en-IE"/>
        </w:rPr>
        <w:t>. See the OIE Register of Diagnostic Kits for further information</w:t>
      </w:r>
      <w:r w:rsidR="001920AE" w:rsidRPr="00882D2B">
        <w:rPr>
          <w:rStyle w:val="FootnoteReference"/>
          <w:lang w:val="en-IE"/>
        </w:rPr>
        <w:footnoteReference w:id="4"/>
      </w:r>
      <w:r w:rsidR="007E0B47" w:rsidRPr="00882D2B">
        <w:rPr>
          <w:lang w:val="en-IE"/>
        </w:rPr>
        <w:t>.</w:t>
      </w:r>
    </w:p>
    <w:p w14:paraId="6D8005A6" w14:textId="3471EFC3" w:rsidR="0015316B" w:rsidRPr="00882D2B" w:rsidRDefault="0015316B" w:rsidP="001A239E">
      <w:pPr>
        <w:pStyle w:val="A0"/>
        <w:keepNext/>
        <w:rPr>
          <w:lang w:val="en-IE"/>
        </w:rPr>
      </w:pPr>
      <w:r w:rsidRPr="00882D2B">
        <w:rPr>
          <w:lang w:val="en-IE"/>
        </w:rPr>
        <w:t>c.</w:t>
      </w:r>
      <w:r w:rsidR="00140119" w:rsidRPr="00882D2B">
        <w:rPr>
          <w:lang w:val="en-IE"/>
        </w:rPr>
        <w:t xml:space="preserve"> </w:t>
      </w:r>
      <w:r w:rsidR="001920AE" w:rsidRPr="00882D2B">
        <w:rPr>
          <w:lang w:val="en-IE"/>
        </w:rPr>
        <w:t xml:space="preserve"> </w:t>
      </w:r>
      <w:r w:rsidRPr="00882D2B">
        <w:t>REQUIREMENTS</w:t>
      </w:r>
      <w:r w:rsidRPr="00882D2B">
        <w:rPr>
          <w:lang w:val="en-IE"/>
        </w:rPr>
        <w:t xml:space="preserve"> FOR VACCINES AND DIAGNOSTIC BIOLOGICALS</w:t>
      </w:r>
    </w:p>
    <w:p w14:paraId="4C9179D2" w14:textId="77777777" w:rsidR="00D33750" w:rsidRPr="00882D2B" w:rsidRDefault="00D33750" w:rsidP="00D33750">
      <w:pPr>
        <w:pStyle w:val="1"/>
        <w:keepNext/>
        <w:ind w:left="425" w:hanging="425"/>
        <w:rPr>
          <w:lang w:val="en-IE"/>
        </w:rPr>
      </w:pPr>
      <w:r w:rsidRPr="00882D2B">
        <w:rPr>
          <w:lang w:val="en-IE"/>
        </w:rPr>
        <w:t>C1.</w:t>
      </w:r>
      <w:r w:rsidRPr="00882D2B">
        <w:rPr>
          <w:lang w:val="en-IE"/>
        </w:rPr>
        <w:tab/>
        <w:t>Vaccines</w:t>
      </w:r>
    </w:p>
    <w:p w14:paraId="37A9B8DA" w14:textId="5BC8AAD8" w:rsidR="003E16B0" w:rsidRPr="00882D2B" w:rsidRDefault="00E82CB9" w:rsidP="00090B2D">
      <w:pPr>
        <w:pStyle w:val="paraA0"/>
        <w:rPr>
          <w:lang w:val="en-IE"/>
        </w:rPr>
      </w:pPr>
      <w:r w:rsidRPr="00882D2B">
        <w:rPr>
          <w:lang w:val="en-IE"/>
        </w:rPr>
        <w:t xml:space="preserve">Guidelines for the production of veterinary vaccines </w:t>
      </w:r>
      <w:r w:rsidR="00B53FDE" w:rsidRPr="00882D2B">
        <w:rPr>
          <w:lang w:val="en-IE"/>
        </w:rPr>
        <w:t>provided</w:t>
      </w:r>
      <w:r w:rsidRPr="00882D2B">
        <w:rPr>
          <w:lang w:val="en-IE"/>
        </w:rPr>
        <w:t xml:space="preserve"> </w:t>
      </w:r>
      <w:r w:rsidR="005C6589" w:rsidRPr="00882D2B">
        <w:rPr>
          <w:lang w:val="en-IE"/>
        </w:rPr>
        <w:t xml:space="preserve">here and </w:t>
      </w:r>
      <w:r w:rsidRPr="00882D2B">
        <w:rPr>
          <w:lang w:val="en-IE"/>
        </w:rPr>
        <w:t>in Chapter 1.1.8</w:t>
      </w:r>
      <w:r w:rsidR="005C6589" w:rsidRPr="00882D2B">
        <w:rPr>
          <w:lang w:val="en-IE"/>
        </w:rPr>
        <w:t>,</w:t>
      </w:r>
      <w:r w:rsidRPr="00882D2B">
        <w:rPr>
          <w:lang w:val="en-IE"/>
        </w:rPr>
        <w:t xml:space="preserve"> </w:t>
      </w:r>
      <w:r w:rsidRPr="00882D2B">
        <w:rPr>
          <w:i/>
          <w:iCs/>
          <w:lang w:val="en-IE"/>
        </w:rPr>
        <w:t>Principles of veterinary vaccine production</w:t>
      </w:r>
      <w:r w:rsidR="005C6589" w:rsidRPr="00882D2B">
        <w:rPr>
          <w:lang w:val="en-IE"/>
        </w:rPr>
        <w:t>,</w:t>
      </w:r>
      <w:r w:rsidRPr="00882D2B">
        <w:rPr>
          <w:lang w:val="en-IE"/>
        </w:rPr>
        <w:t xml:space="preserve"> are intended to be general in nature</w:t>
      </w:r>
      <w:r w:rsidR="004F7E66" w:rsidRPr="00882D2B">
        <w:rPr>
          <w:lang w:val="en-IE"/>
        </w:rPr>
        <w:t>,</w:t>
      </w:r>
      <w:r w:rsidRPr="00882D2B">
        <w:rPr>
          <w:lang w:val="en-IE"/>
        </w:rPr>
        <w:t xml:space="preserve"> and may be supplemented by national and regional requirements.</w:t>
      </w:r>
      <w:r w:rsidR="00B914F7" w:rsidRPr="00882D2B">
        <w:rPr>
          <w:lang w:val="en-IE"/>
        </w:rPr>
        <w:t xml:space="preserve"> </w:t>
      </w:r>
    </w:p>
    <w:p w14:paraId="49E389F6" w14:textId="430E4758" w:rsidR="008D14DA" w:rsidRPr="00882D2B" w:rsidRDefault="00C622E4" w:rsidP="00094D14">
      <w:pPr>
        <w:pStyle w:val="paraA0"/>
        <w:rPr>
          <w:lang w:val="en-IE"/>
        </w:rPr>
      </w:pPr>
      <w:r w:rsidRPr="00882D2B">
        <w:rPr>
          <w:lang w:val="en-IE"/>
        </w:rPr>
        <w:t>T</w:t>
      </w:r>
      <w:r w:rsidR="0015316B" w:rsidRPr="00882D2B">
        <w:rPr>
          <w:lang w:val="en-IE"/>
        </w:rPr>
        <w:t xml:space="preserve">he only </w:t>
      </w:r>
      <w:r w:rsidRPr="00882D2B">
        <w:rPr>
          <w:lang w:val="en-IE"/>
        </w:rPr>
        <w:t xml:space="preserve">currently </w:t>
      </w:r>
      <w:r w:rsidR="0015316B" w:rsidRPr="00882D2B">
        <w:rPr>
          <w:lang w:val="en-IE"/>
        </w:rPr>
        <w:t xml:space="preserve">available vaccine against </w:t>
      </w:r>
      <w:r w:rsidR="00EC41A8" w:rsidRPr="00882D2B">
        <w:rPr>
          <w:i/>
          <w:iCs/>
          <w:lang w:val="en-IE"/>
        </w:rPr>
        <w:t>M. </w:t>
      </w:r>
      <w:proofErr w:type="spellStart"/>
      <w:r w:rsidR="0015316B" w:rsidRPr="00882D2B">
        <w:rPr>
          <w:i/>
          <w:iCs/>
          <w:lang w:val="en-IE"/>
        </w:rPr>
        <w:t>bovis</w:t>
      </w:r>
      <w:proofErr w:type="spellEnd"/>
      <w:r w:rsidR="0015316B" w:rsidRPr="00882D2B">
        <w:rPr>
          <w:lang w:val="en-IE"/>
        </w:rPr>
        <w:t xml:space="preserve"> infections is </w:t>
      </w:r>
      <w:proofErr w:type="spellStart"/>
      <w:r w:rsidR="0015316B" w:rsidRPr="00882D2B">
        <w:rPr>
          <w:lang w:val="en-IE"/>
        </w:rPr>
        <w:t>bacille</w:t>
      </w:r>
      <w:proofErr w:type="spellEnd"/>
      <w:r w:rsidR="0015316B" w:rsidRPr="00882D2B">
        <w:rPr>
          <w:lang w:val="en-IE"/>
        </w:rPr>
        <w:t xml:space="preserve">-Calmette-Guerin (BCG), a live attenuated strain of </w:t>
      </w:r>
      <w:r w:rsidR="00EC41A8" w:rsidRPr="00882D2B">
        <w:rPr>
          <w:i/>
          <w:iCs/>
          <w:lang w:val="en-IE"/>
        </w:rPr>
        <w:t>M. </w:t>
      </w:r>
      <w:proofErr w:type="spellStart"/>
      <w:r w:rsidR="0015316B" w:rsidRPr="00882D2B">
        <w:rPr>
          <w:i/>
          <w:iCs/>
          <w:lang w:val="en-IE"/>
        </w:rPr>
        <w:t>bovis</w:t>
      </w:r>
      <w:proofErr w:type="spellEnd"/>
      <w:r w:rsidR="0015316B" w:rsidRPr="00882D2B">
        <w:rPr>
          <w:lang w:val="en-IE"/>
        </w:rPr>
        <w:t>.</w:t>
      </w:r>
      <w:r w:rsidR="00140119" w:rsidRPr="00882D2B">
        <w:rPr>
          <w:lang w:val="en-IE"/>
        </w:rPr>
        <w:t xml:space="preserve"> </w:t>
      </w:r>
      <w:r w:rsidR="008D14DA" w:rsidRPr="00882D2B">
        <w:rPr>
          <w:lang w:val="en-IE"/>
        </w:rPr>
        <w:t>Trials have been conducted on a number of other vaccines, but none has been shown to induce a superior protection to BCG</w:t>
      </w:r>
      <w:r w:rsidR="005C6589" w:rsidRPr="00882D2B">
        <w:rPr>
          <w:lang w:val="en-IE"/>
        </w:rPr>
        <w:t xml:space="preserve"> (</w:t>
      </w:r>
      <w:proofErr w:type="spellStart"/>
      <w:r w:rsidR="005C6589" w:rsidRPr="00882D2B">
        <w:rPr>
          <w:lang w:val="en-IE"/>
        </w:rPr>
        <w:t>Vordermeier</w:t>
      </w:r>
      <w:proofErr w:type="spellEnd"/>
      <w:r w:rsidR="005C6589" w:rsidRPr="00882D2B">
        <w:rPr>
          <w:lang w:val="en-IE"/>
        </w:rPr>
        <w:t xml:space="preserve"> </w:t>
      </w:r>
      <w:r w:rsidR="005C6589" w:rsidRPr="00882D2B">
        <w:rPr>
          <w:i/>
          <w:iCs/>
          <w:lang w:val="en-IE"/>
        </w:rPr>
        <w:t>et al</w:t>
      </w:r>
      <w:r w:rsidR="00FA5FEB" w:rsidRPr="00882D2B">
        <w:rPr>
          <w:i/>
          <w:iCs/>
          <w:lang w:val="en-IE"/>
        </w:rPr>
        <w:t>.</w:t>
      </w:r>
      <w:r w:rsidR="005C6589" w:rsidRPr="00882D2B">
        <w:rPr>
          <w:i/>
          <w:iCs/>
          <w:lang w:val="en-IE"/>
        </w:rPr>
        <w:t>,</w:t>
      </w:r>
      <w:r w:rsidR="005C6589" w:rsidRPr="00882D2B">
        <w:rPr>
          <w:lang w:val="en-IE"/>
        </w:rPr>
        <w:t xml:space="preserve"> 2016)</w:t>
      </w:r>
      <w:r w:rsidR="008D14DA" w:rsidRPr="00882D2B">
        <w:rPr>
          <w:lang w:val="en-IE"/>
        </w:rPr>
        <w:t>.</w:t>
      </w:r>
    </w:p>
    <w:p w14:paraId="296C3F77" w14:textId="1B6AC3D1" w:rsidR="00094D14" w:rsidRPr="00882D2B" w:rsidRDefault="00C622E4" w:rsidP="00090B2D">
      <w:pPr>
        <w:pStyle w:val="paraA0"/>
        <w:rPr>
          <w:lang w:val="en-IE"/>
        </w:rPr>
      </w:pPr>
      <w:r w:rsidRPr="00882D2B">
        <w:rPr>
          <w:lang w:val="en-IE"/>
        </w:rPr>
        <w:t>BCG</w:t>
      </w:r>
      <w:r w:rsidR="0015316B" w:rsidRPr="00882D2B">
        <w:rPr>
          <w:lang w:val="en-IE"/>
        </w:rPr>
        <w:t xml:space="preserve"> has </w:t>
      </w:r>
      <w:r w:rsidRPr="00882D2B">
        <w:rPr>
          <w:lang w:val="en-IE"/>
        </w:rPr>
        <w:t xml:space="preserve">been </w:t>
      </w:r>
      <w:r w:rsidR="0015316B" w:rsidRPr="00882D2B">
        <w:rPr>
          <w:lang w:val="en-IE"/>
        </w:rPr>
        <w:t xml:space="preserve">shown </w:t>
      </w:r>
      <w:r w:rsidRPr="00882D2B">
        <w:rPr>
          <w:lang w:val="en-IE"/>
        </w:rPr>
        <w:t>to</w:t>
      </w:r>
      <w:r w:rsidR="00FC7487">
        <w:rPr>
          <w:lang w:val="en-IE"/>
        </w:rPr>
        <w:t xml:space="preserve"> be</w:t>
      </w:r>
      <w:r w:rsidRPr="00882D2B">
        <w:rPr>
          <w:lang w:val="en-IE"/>
        </w:rPr>
        <w:t xml:space="preserve"> </w:t>
      </w:r>
      <w:r w:rsidR="008D14DA" w:rsidRPr="00882D2B">
        <w:rPr>
          <w:lang w:val="en-IE"/>
        </w:rPr>
        <w:t xml:space="preserve">safe in </w:t>
      </w:r>
      <w:r w:rsidR="00711ACE" w:rsidRPr="00882D2B">
        <w:rPr>
          <w:lang w:val="en-IE"/>
        </w:rPr>
        <w:t xml:space="preserve">cattle and </w:t>
      </w:r>
      <w:r w:rsidR="00C33B24" w:rsidRPr="001843E6">
        <w:rPr>
          <w:highlight w:val="yellow"/>
          <w:u w:val="double"/>
          <w:lang w:val="en-IE"/>
        </w:rPr>
        <w:t>some</w:t>
      </w:r>
      <w:r w:rsidR="00C33B24">
        <w:rPr>
          <w:lang w:val="en-IE"/>
        </w:rPr>
        <w:t xml:space="preserve"> </w:t>
      </w:r>
      <w:r w:rsidR="00711ACE" w:rsidRPr="00882D2B">
        <w:rPr>
          <w:lang w:val="en-IE"/>
        </w:rPr>
        <w:t>other</w:t>
      </w:r>
      <w:r w:rsidR="008D14DA" w:rsidRPr="00882D2B">
        <w:rPr>
          <w:lang w:val="en-IE"/>
        </w:rPr>
        <w:t xml:space="preserve"> livestock</w:t>
      </w:r>
      <w:r w:rsidR="004F7E66" w:rsidRPr="00882D2B">
        <w:rPr>
          <w:lang w:val="en-IE"/>
        </w:rPr>
        <w:t xml:space="preserve"> </w:t>
      </w:r>
      <w:r w:rsidR="008D14DA" w:rsidRPr="00882D2B">
        <w:rPr>
          <w:lang w:val="en-IE"/>
        </w:rPr>
        <w:t xml:space="preserve">as well as in free-living and captive wildlife. Studies have noted </w:t>
      </w:r>
      <w:r w:rsidR="0015316B" w:rsidRPr="00882D2B">
        <w:rPr>
          <w:lang w:val="en-IE"/>
        </w:rPr>
        <w:t xml:space="preserve">variable </w:t>
      </w:r>
      <w:r w:rsidRPr="00882D2B">
        <w:rPr>
          <w:lang w:val="en-IE"/>
        </w:rPr>
        <w:t xml:space="preserve">levels of </w:t>
      </w:r>
      <w:r w:rsidR="0015316B" w:rsidRPr="00882D2B">
        <w:rPr>
          <w:lang w:val="en-IE"/>
        </w:rPr>
        <w:t xml:space="preserve">efficacy in </w:t>
      </w:r>
      <w:r w:rsidRPr="00882D2B">
        <w:rPr>
          <w:lang w:val="en-IE"/>
        </w:rPr>
        <w:t xml:space="preserve">experimental and field </w:t>
      </w:r>
      <w:r w:rsidR="0015316B" w:rsidRPr="00882D2B">
        <w:rPr>
          <w:lang w:val="en-IE"/>
        </w:rPr>
        <w:t>trials</w:t>
      </w:r>
      <w:r w:rsidRPr="00882D2B">
        <w:rPr>
          <w:lang w:val="en-IE"/>
        </w:rPr>
        <w:t xml:space="preserve"> in cattle.</w:t>
      </w:r>
      <w:r w:rsidR="0015316B" w:rsidRPr="00882D2B">
        <w:rPr>
          <w:lang w:val="en-IE"/>
        </w:rPr>
        <w:t xml:space="preserve"> </w:t>
      </w:r>
      <w:r w:rsidRPr="00882D2B">
        <w:rPr>
          <w:lang w:val="en-IE"/>
        </w:rPr>
        <w:t>This variability</w:t>
      </w:r>
      <w:r w:rsidR="0015316B" w:rsidRPr="00882D2B">
        <w:rPr>
          <w:lang w:val="en-IE"/>
        </w:rPr>
        <w:t xml:space="preserve"> </w:t>
      </w:r>
      <w:r w:rsidRPr="00882D2B">
        <w:rPr>
          <w:lang w:val="en-IE"/>
        </w:rPr>
        <w:t xml:space="preserve">has </w:t>
      </w:r>
      <w:r w:rsidR="0015316B" w:rsidRPr="00882D2B">
        <w:rPr>
          <w:lang w:val="en-IE"/>
        </w:rPr>
        <w:t>be</w:t>
      </w:r>
      <w:r w:rsidR="00FC7487">
        <w:rPr>
          <w:lang w:val="en-IE"/>
        </w:rPr>
        <w:t>en</w:t>
      </w:r>
      <w:r w:rsidR="0015316B" w:rsidRPr="00882D2B">
        <w:rPr>
          <w:lang w:val="en-IE"/>
        </w:rPr>
        <w:t xml:space="preserve"> attribut</w:t>
      </w:r>
      <w:r w:rsidR="008D14DA" w:rsidRPr="00882D2B">
        <w:rPr>
          <w:lang w:val="en-IE"/>
        </w:rPr>
        <w:t>ed</w:t>
      </w:r>
      <w:r w:rsidR="0015316B" w:rsidRPr="00882D2B">
        <w:rPr>
          <w:lang w:val="en-IE"/>
        </w:rPr>
        <w:t xml:space="preserve"> to factors including vaccine formulation, </w:t>
      </w:r>
      <w:r w:rsidRPr="00882D2B">
        <w:rPr>
          <w:lang w:val="en-IE"/>
        </w:rPr>
        <w:t xml:space="preserve">age of animal, </w:t>
      </w:r>
      <w:r w:rsidR="0015316B" w:rsidRPr="00882D2B">
        <w:rPr>
          <w:lang w:val="en-IE"/>
        </w:rPr>
        <w:t>route of vaccination, and exposure to environmental mycobacteria.</w:t>
      </w:r>
      <w:r w:rsidR="003E16B0" w:rsidRPr="00882D2B">
        <w:rPr>
          <w:lang w:val="en-IE"/>
        </w:rPr>
        <w:t xml:space="preserve"> </w:t>
      </w:r>
      <w:r w:rsidRPr="00882D2B">
        <w:rPr>
          <w:lang w:val="en-IE"/>
        </w:rPr>
        <w:t xml:space="preserve">The protection provided by </w:t>
      </w:r>
      <w:r w:rsidR="00094D14" w:rsidRPr="00882D2B">
        <w:rPr>
          <w:lang w:val="en-IE"/>
        </w:rPr>
        <w:t xml:space="preserve">BCG </w:t>
      </w:r>
      <w:r w:rsidR="008D14DA" w:rsidRPr="00882D2B">
        <w:rPr>
          <w:lang w:val="en-IE"/>
        </w:rPr>
        <w:t>is</w:t>
      </w:r>
      <w:r w:rsidRPr="00882D2B">
        <w:rPr>
          <w:lang w:val="en-IE"/>
        </w:rPr>
        <w:t xml:space="preserve"> </w:t>
      </w:r>
      <w:r w:rsidR="008D14DA" w:rsidRPr="00882D2B">
        <w:rPr>
          <w:lang w:val="en-IE"/>
        </w:rPr>
        <w:t>due to</w:t>
      </w:r>
      <w:r w:rsidRPr="00882D2B">
        <w:rPr>
          <w:lang w:val="en-IE"/>
        </w:rPr>
        <w:t xml:space="preserve"> a </w:t>
      </w:r>
      <w:r w:rsidR="00094D14" w:rsidRPr="00882D2B">
        <w:rPr>
          <w:lang w:val="en-IE"/>
        </w:rPr>
        <w:t>reduc</w:t>
      </w:r>
      <w:r w:rsidRPr="00882D2B">
        <w:rPr>
          <w:lang w:val="en-IE"/>
        </w:rPr>
        <w:t>tion in</w:t>
      </w:r>
      <w:r w:rsidR="00094D14" w:rsidRPr="00882D2B">
        <w:rPr>
          <w:lang w:val="en-IE"/>
        </w:rPr>
        <w:t xml:space="preserve"> susceptibility of vaccinates to infection</w:t>
      </w:r>
      <w:r w:rsidRPr="00882D2B">
        <w:rPr>
          <w:lang w:val="en-IE"/>
        </w:rPr>
        <w:t>,</w:t>
      </w:r>
      <w:r w:rsidR="00094D14" w:rsidRPr="00882D2B">
        <w:rPr>
          <w:lang w:val="en-IE"/>
        </w:rPr>
        <w:t xml:space="preserve"> as well as </w:t>
      </w:r>
      <w:r w:rsidR="00B53FDE" w:rsidRPr="00882D2B">
        <w:rPr>
          <w:lang w:val="en-IE"/>
        </w:rPr>
        <w:t>through</w:t>
      </w:r>
      <w:r w:rsidR="00094D14" w:rsidRPr="00882D2B">
        <w:rPr>
          <w:lang w:val="en-IE"/>
        </w:rPr>
        <w:t xml:space="preserve"> reduc</w:t>
      </w:r>
      <w:r w:rsidR="008D14DA" w:rsidRPr="00882D2B">
        <w:rPr>
          <w:lang w:val="en-IE"/>
        </w:rPr>
        <w:t>tion</w:t>
      </w:r>
      <w:r w:rsidR="00094D14" w:rsidRPr="00882D2B">
        <w:rPr>
          <w:lang w:val="en-IE"/>
        </w:rPr>
        <w:t xml:space="preserve"> </w:t>
      </w:r>
      <w:r w:rsidR="008D14DA" w:rsidRPr="00882D2B">
        <w:rPr>
          <w:lang w:val="en-IE"/>
        </w:rPr>
        <w:t>of</w:t>
      </w:r>
      <w:r w:rsidR="00094D14" w:rsidRPr="00882D2B">
        <w:rPr>
          <w:lang w:val="en-IE"/>
        </w:rPr>
        <w:t xml:space="preserve"> onward transmission </w:t>
      </w:r>
      <w:r w:rsidR="008D14DA" w:rsidRPr="00882D2B">
        <w:rPr>
          <w:lang w:val="en-IE"/>
        </w:rPr>
        <w:t>from</w:t>
      </w:r>
      <w:r w:rsidR="00094D14" w:rsidRPr="00882D2B">
        <w:rPr>
          <w:lang w:val="en-IE"/>
        </w:rPr>
        <w:t xml:space="preserve"> vaccinate</w:t>
      </w:r>
      <w:r w:rsidR="008D14DA" w:rsidRPr="00882D2B">
        <w:rPr>
          <w:lang w:val="en-IE"/>
        </w:rPr>
        <w:t>d animals</w:t>
      </w:r>
      <w:r w:rsidR="00094D14" w:rsidRPr="00882D2B">
        <w:rPr>
          <w:lang w:val="en-IE"/>
        </w:rPr>
        <w:t xml:space="preserve"> </w:t>
      </w:r>
      <w:r w:rsidR="008D14DA" w:rsidRPr="00882D2B">
        <w:rPr>
          <w:lang w:val="en-IE"/>
        </w:rPr>
        <w:t xml:space="preserve">resulting from lowered </w:t>
      </w:r>
      <w:r w:rsidR="00094D14" w:rsidRPr="00882D2B">
        <w:rPr>
          <w:lang w:val="en-IE"/>
        </w:rPr>
        <w:t xml:space="preserve">pathology </w:t>
      </w:r>
      <w:r w:rsidR="00B53FDE" w:rsidRPr="00882D2B">
        <w:rPr>
          <w:lang w:val="en-IE"/>
        </w:rPr>
        <w:t>and infectiousness</w:t>
      </w:r>
      <w:r w:rsidR="00094D14" w:rsidRPr="00882D2B">
        <w:rPr>
          <w:lang w:val="en-IE"/>
        </w:rPr>
        <w:t>.</w:t>
      </w:r>
    </w:p>
    <w:p w14:paraId="777156D1" w14:textId="36A75B8A" w:rsidR="00A804DA" w:rsidRPr="00882D2B" w:rsidRDefault="005C6589" w:rsidP="00A804DA">
      <w:pPr>
        <w:pStyle w:val="paraA0"/>
        <w:rPr>
          <w:lang w:val="en-IE"/>
        </w:rPr>
      </w:pPr>
      <w:r w:rsidRPr="00882D2B">
        <w:rPr>
          <w:lang w:val="en-IE"/>
        </w:rPr>
        <w:t>Similar</w:t>
      </w:r>
      <w:r w:rsidR="001357C9">
        <w:rPr>
          <w:lang w:val="en-IE"/>
        </w:rPr>
        <w:t>ly</w:t>
      </w:r>
      <w:r w:rsidR="00FC7487">
        <w:rPr>
          <w:lang w:val="en-IE"/>
        </w:rPr>
        <w:t>,</w:t>
      </w:r>
      <w:r w:rsidRPr="00882D2B">
        <w:rPr>
          <w:lang w:val="en-IE"/>
        </w:rPr>
        <w:t xml:space="preserve"> to what is observed in humans, a</w:t>
      </w:r>
      <w:r w:rsidR="00A804DA" w:rsidRPr="00882D2B">
        <w:rPr>
          <w:lang w:val="en-IE"/>
        </w:rPr>
        <w:t xml:space="preserve"> systematic review and meta-analysis showed only modest </w:t>
      </w:r>
      <w:r w:rsidR="00585907" w:rsidRPr="00882D2B">
        <w:rPr>
          <w:lang w:val="en-IE"/>
        </w:rPr>
        <w:t xml:space="preserve">(~25%) </w:t>
      </w:r>
      <w:r w:rsidR="00A804DA" w:rsidRPr="00882D2B">
        <w:rPr>
          <w:lang w:val="en-IE"/>
        </w:rPr>
        <w:t xml:space="preserve">direct efficacy of BCG against </w:t>
      </w:r>
      <w:r w:rsidR="00094D14" w:rsidRPr="00882D2B">
        <w:rPr>
          <w:lang w:val="en-IE"/>
        </w:rPr>
        <w:t xml:space="preserve">bovine </w:t>
      </w:r>
      <w:r w:rsidR="00A804DA" w:rsidRPr="00882D2B">
        <w:rPr>
          <w:lang w:val="en-IE"/>
        </w:rPr>
        <w:t>TB challenge in cattle</w:t>
      </w:r>
      <w:r w:rsidR="00585907" w:rsidRPr="00882D2B">
        <w:rPr>
          <w:lang w:val="en-IE"/>
        </w:rPr>
        <w:t xml:space="preserve"> (Srinivasan </w:t>
      </w:r>
      <w:r w:rsidR="00585907" w:rsidRPr="00882D2B">
        <w:rPr>
          <w:i/>
          <w:iCs/>
          <w:lang w:val="en-IE"/>
        </w:rPr>
        <w:t>et al.,</w:t>
      </w:r>
      <w:r w:rsidR="00585907" w:rsidRPr="00882D2B">
        <w:rPr>
          <w:lang w:val="en-IE"/>
        </w:rPr>
        <w:t xml:space="preserve"> 2021)</w:t>
      </w:r>
      <w:r w:rsidR="00A804DA" w:rsidRPr="00882D2B">
        <w:rPr>
          <w:lang w:val="en-IE"/>
        </w:rPr>
        <w:t xml:space="preserve">. However, scenario analyses considering both direct and indirect effects suggest that disease prevalence could be </w:t>
      </w:r>
      <w:r w:rsidR="00094D14" w:rsidRPr="00882D2B">
        <w:rPr>
          <w:lang w:val="en-IE"/>
        </w:rPr>
        <w:t>substantially reduced</w:t>
      </w:r>
      <w:r w:rsidR="00585907" w:rsidRPr="00882D2B">
        <w:rPr>
          <w:lang w:val="en-IE"/>
        </w:rPr>
        <w:t xml:space="preserve"> up to official TB-free depending on the starting le</w:t>
      </w:r>
      <w:r w:rsidR="008D1B7D" w:rsidRPr="00882D2B">
        <w:rPr>
          <w:lang w:val="en-IE"/>
        </w:rPr>
        <w:t>v</w:t>
      </w:r>
      <w:r w:rsidR="00585907" w:rsidRPr="00882D2B">
        <w:rPr>
          <w:lang w:val="en-IE"/>
        </w:rPr>
        <w:t>els of infection</w:t>
      </w:r>
      <w:r w:rsidR="00711ACE" w:rsidRPr="00882D2B">
        <w:rPr>
          <w:lang w:val="en-IE"/>
        </w:rPr>
        <w:t xml:space="preserve">, </w:t>
      </w:r>
      <w:r w:rsidR="00585907" w:rsidRPr="00882D2B">
        <w:rPr>
          <w:lang w:val="en-IE"/>
        </w:rPr>
        <w:t>and</w:t>
      </w:r>
      <w:r w:rsidR="00A804DA" w:rsidRPr="00882D2B">
        <w:rPr>
          <w:lang w:val="en-IE"/>
        </w:rPr>
        <w:t xml:space="preserve"> 50–95% of cumulative cases averted over 50 years</w:t>
      </w:r>
      <w:r w:rsidR="00585907" w:rsidRPr="00882D2B">
        <w:rPr>
          <w:lang w:val="en-IE"/>
        </w:rPr>
        <w:t xml:space="preserve"> with</w:t>
      </w:r>
      <w:r w:rsidR="00A804DA" w:rsidRPr="00882D2B">
        <w:rPr>
          <w:lang w:val="en-IE"/>
        </w:rPr>
        <w:t xml:space="preserve"> BCG vaccination. </w:t>
      </w:r>
      <w:r w:rsidR="00585907" w:rsidRPr="00882D2B">
        <w:rPr>
          <w:lang w:val="en-IE"/>
        </w:rPr>
        <w:t>For these reasons</w:t>
      </w:r>
      <w:r w:rsidR="00A804DA" w:rsidRPr="00882D2B">
        <w:rPr>
          <w:lang w:val="en-IE"/>
        </w:rPr>
        <w:t xml:space="preserve">, BCG vaccination </w:t>
      </w:r>
      <w:r w:rsidRPr="00882D2B">
        <w:rPr>
          <w:lang w:val="en-IE"/>
        </w:rPr>
        <w:t>may</w:t>
      </w:r>
      <w:r w:rsidR="00A804DA" w:rsidRPr="00882D2B">
        <w:rPr>
          <w:lang w:val="en-IE"/>
        </w:rPr>
        <w:t xml:space="preserve"> help accelerate control of </w:t>
      </w:r>
      <w:proofErr w:type="spellStart"/>
      <w:r w:rsidR="00A804DA" w:rsidRPr="00882D2B">
        <w:rPr>
          <w:lang w:val="en-IE"/>
        </w:rPr>
        <w:t>bTB</w:t>
      </w:r>
      <w:proofErr w:type="spellEnd"/>
      <w:r w:rsidR="00A804DA" w:rsidRPr="00882D2B">
        <w:rPr>
          <w:lang w:val="en-IE"/>
        </w:rPr>
        <w:t xml:space="preserve"> in endemic settings, particularly with early implementation in the face of dairy intensification in regions that currently lack effective </w:t>
      </w:r>
      <w:proofErr w:type="spellStart"/>
      <w:r w:rsidR="00A804DA" w:rsidRPr="00882D2B">
        <w:rPr>
          <w:lang w:val="en-IE"/>
        </w:rPr>
        <w:t>bTB</w:t>
      </w:r>
      <w:proofErr w:type="spellEnd"/>
      <w:r w:rsidR="00A804DA" w:rsidRPr="00882D2B">
        <w:rPr>
          <w:lang w:val="en-IE"/>
        </w:rPr>
        <w:t xml:space="preserve"> control programs.</w:t>
      </w:r>
    </w:p>
    <w:p w14:paraId="6B07B8DD" w14:textId="0317EB66" w:rsidR="004F7E66" w:rsidRPr="00882D2B" w:rsidRDefault="0015316B" w:rsidP="00090B2D">
      <w:pPr>
        <w:pStyle w:val="paraA0"/>
        <w:rPr>
          <w:lang w:val="en-IE"/>
        </w:rPr>
      </w:pPr>
      <w:r w:rsidRPr="00882D2B">
        <w:rPr>
          <w:lang w:val="en-IE"/>
        </w:rPr>
        <w:t xml:space="preserve">Experimental </w:t>
      </w:r>
      <w:r w:rsidR="004F7E66" w:rsidRPr="00882D2B">
        <w:rPr>
          <w:lang w:val="en-IE"/>
        </w:rPr>
        <w:t>trials</w:t>
      </w:r>
      <w:r w:rsidRPr="00882D2B">
        <w:rPr>
          <w:lang w:val="en-IE"/>
        </w:rPr>
        <w:t xml:space="preserve"> have established that protection wanes between one to two years post-vaccination, but revaccination when immunity has waned after two years boosted protection. BCG </w:t>
      </w:r>
      <w:r w:rsidR="004F7E66" w:rsidRPr="00882D2B">
        <w:rPr>
          <w:lang w:val="en-IE"/>
        </w:rPr>
        <w:t>vaccination</w:t>
      </w:r>
      <w:r w:rsidRPr="00882D2B">
        <w:rPr>
          <w:lang w:val="en-IE"/>
        </w:rPr>
        <w:t xml:space="preserve"> of infected cattle does not result in exacerbation of infection (Buddle </w:t>
      </w:r>
      <w:r w:rsidRPr="00882D2B">
        <w:rPr>
          <w:i/>
          <w:iCs/>
          <w:lang w:val="en-IE"/>
        </w:rPr>
        <w:t>et al.,</w:t>
      </w:r>
      <w:r w:rsidRPr="00882D2B">
        <w:rPr>
          <w:lang w:val="en-IE"/>
        </w:rPr>
        <w:t xml:space="preserve"> 2016)</w:t>
      </w:r>
      <w:r w:rsidR="00CA6499" w:rsidRPr="00882D2B">
        <w:rPr>
          <w:lang w:val="en-IE"/>
        </w:rPr>
        <w:t>.</w:t>
      </w:r>
      <w:r w:rsidRPr="00882D2B">
        <w:rPr>
          <w:lang w:val="en-IE"/>
        </w:rPr>
        <w:t xml:space="preserve"> </w:t>
      </w:r>
    </w:p>
    <w:p w14:paraId="3156AFB3" w14:textId="7651D4D4" w:rsidR="00797954" w:rsidRPr="00882D2B" w:rsidRDefault="00DE0777" w:rsidP="00090B2D">
      <w:pPr>
        <w:pStyle w:val="paraA0"/>
        <w:rPr>
          <w:lang w:val="en-IE"/>
        </w:rPr>
      </w:pPr>
      <w:r w:rsidRPr="00882D2B">
        <w:rPr>
          <w:lang w:val="en-IE"/>
        </w:rPr>
        <w:t>BCG vaccine strains including Danish 1331, Pasteur 1173P2 and Russia have been used at a</w:t>
      </w:r>
      <w:r w:rsidR="0015316B" w:rsidRPr="00882D2B">
        <w:rPr>
          <w:lang w:val="en-IE"/>
        </w:rPr>
        <w:t xml:space="preserve"> dosage </w:t>
      </w:r>
      <w:r w:rsidRPr="00882D2B">
        <w:rPr>
          <w:lang w:val="en-IE"/>
        </w:rPr>
        <w:t>ranging</w:t>
      </w:r>
      <w:r w:rsidR="0015316B" w:rsidRPr="00882D2B">
        <w:rPr>
          <w:lang w:val="en-IE"/>
        </w:rPr>
        <w:t xml:space="preserve"> from 10</w:t>
      </w:r>
      <w:r w:rsidR="0015316B" w:rsidRPr="00882D2B">
        <w:rPr>
          <w:szCs w:val="14"/>
          <w:vertAlign w:val="superscript"/>
          <w:lang w:val="en-IE"/>
        </w:rPr>
        <w:t>4</w:t>
      </w:r>
      <w:r w:rsidR="0015316B" w:rsidRPr="00882D2B">
        <w:rPr>
          <w:lang w:val="en-IE"/>
        </w:rPr>
        <w:t xml:space="preserve"> to 10</w:t>
      </w:r>
      <w:r w:rsidR="0015316B" w:rsidRPr="00882D2B">
        <w:rPr>
          <w:szCs w:val="14"/>
          <w:vertAlign w:val="superscript"/>
          <w:lang w:val="en-IE"/>
        </w:rPr>
        <w:t>6 </w:t>
      </w:r>
      <w:r w:rsidR="0015316B" w:rsidRPr="00882D2B">
        <w:rPr>
          <w:lang w:val="en-IE"/>
        </w:rPr>
        <w:t xml:space="preserve">colony-forming units </w:t>
      </w:r>
      <w:r w:rsidR="00C10D70" w:rsidRPr="00882D2B">
        <w:rPr>
          <w:lang w:val="en-IE"/>
        </w:rPr>
        <w:t>(</w:t>
      </w:r>
      <w:r w:rsidR="00882D2B" w:rsidRPr="00882D2B">
        <w:rPr>
          <w:lang w:val="en-IE"/>
        </w:rPr>
        <w:t>CFU</w:t>
      </w:r>
      <w:r w:rsidR="00C10D70" w:rsidRPr="00882D2B">
        <w:rPr>
          <w:lang w:val="en-IE"/>
        </w:rPr>
        <w:t xml:space="preserve">) </w:t>
      </w:r>
      <w:r w:rsidR="0015316B" w:rsidRPr="00882D2B">
        <w:rPr>
          <w:lang w:val="en-IE"/>
        </w:rPr>
        <w:t xml:space="preserve">given subcutaneously. </w:t>
      </w:r>
      <w:r w:rsidRPr="00882D2B">
        <w:rPr>
          <w:lang w:val="en-IE"/>
        </w:rPr>
        <w:t>Since the</w:t>
      </w:r>
      <w:r w:rsidR="0015316B" w:rsidRPr="00882D2B">
        <w:rPr>
          <w:lang w:val="en-IE"/>
        </w:rPr>
        <w:t xml:space="preserve"> use of vaccine</w:t>
      </w:r>
      <w:r w:rsidRPr="00882D2B">
        <w:rPr>
          <w:lang w:val="en-IE"/>
        </w:rPr>
        <w:t>s</w:t>
      </w:r>
      <w:r w:rsidR="0015316B" w:rsidRPr="00882D2B">
        <w:rPr>
          <w:lang w:val="en-IE"/>
        </w:rPr>
        <w:t xml:space="preserve"> </w:t>
      </w:r>
      <w:r w:rsidRPr="00882D2B">
        <w:rPr>
          <w:lang w:val="en-IE"/>
        </w:rPr>
        <w:t>may</w:t>
      </w:r>
      <w:r w:rsidR="0015316B" w:rsidRPr="00882D2B">
        <w:rPr>
          <w:lang w:val="en-IE"/>
        </w:rPr>
        <w:t xml:space="preserve"> compromise tuberculin skin tests or other immunological tests</w:t>
      </w:r>
      <w:r w:rsidR="007464CA" w:rsidRPr="00882D2B">
        <w:rPr>
          <w:lang w:val="en-IE"/>
        </w:rPr>
        <w:t>,</w:t>
      </w:r>
      <w:r w:rsidR="0015316B" w:rsidRPr="00882D2B">
        <w:rPr>
          <w:lang w:val="en-IE"/>
        </w:rPr>
        <w:t xml:space="preserve"> the use of </w:t>
      </w:r>
      <w:r w:rsidRPr="00882D2B">
        <w:rPr>
          <w:lang w:val="en-IE"/>
        </w:rPr>
        <w:t xml:space="preserve">molecularly defined </w:t>
      </w:r>
      <w:r w:rsidR="0015316B" w:rsidRPr="00882D2B">
        <w:rPr>
          <w:lang w:val="en-IE"/>
        </w:rPr>
        <w:t>tuberculin as diagnostic antigen</w:t>
      </w:r>
      <w:r w:rsidRPr="00882D2B">
        <w:rPr>
          <w:lang w:val="en-IE"/>
        </w:rPr>
        <w:t xml:space="preserve"> </w:t>
      </w:r>
      <w:r w:rsidR="003F0341" w:rsidRPr="00882D2B">
        <w:rPr>
          <w:lang w:val="en-IE"/>
        </w:rPr>
        <w:t>is</w:t>
      </w:r>
      <w:r w:rsidRPr="00882D2B">
        <w:rPr>
          <w:lang w:val="en-IE"/>
        </w:rPr>
        <w:t xml:space="preserve"> needed</w:t>
      </w:r>
      <w:r w:rsidR="00E914F3" w:rsidRPr="00882D2B">
        <w:rPr>
          <w:lang w:val="en-IE"/>
        </w:rPr>
        <w:t xml:space="preserve">. </w:t>
      </w:r>
      <w:r w:rsidRPr="00882D2B">
        <w:rPr>
          <w:lang w:val="en-IE"/>
        </w:rPr>
        <w:t>S</w:t>
      </w:r>
      <w:r w:rsidR="0015316B" w:rsidRPr="00882D2B">
        <w:rPr>
          <w:lang w:val="en-IE"/>
        </w:rPr>
        <w:t>ignificant progress has been made in the development of so-called DIVA antigens that allow the differentiation of BCG</w:t>
      </w:r>
      <w:r w:rsidR="003F0341" w:rsidRPr="00882D2B">
        <w:rPr>
          <w:lang w:val="en-IE"/>
        </w:rPr>
        <w:t>-</w:t>
      </w:r>
      <w:r w:rsidR="0015316B" w:rsidRPr="00882D2B">
        <w:rPr>
          <w:lang w:val="en-IE"/>
        </w:rPr>
        <w:t xml:space="preserve">vaccinated from </w:t>
      </w:r>
      <w:r w:rsidR="00EC41A8" w:rsidRPr="00882D2B">
        <w:rPr>
          <w:i/>
          <w:iCs/>
          <w:lang w:val="en-IE"/>
        </w:rPr>
        <w:t>M. </w:t>
      </w:r>
      <w:proofErr w:type="spellStart"/>
      <w:r w:rsidR="0015316B" w:rsidRPr="00882D2B">
        <w:rPr>
          <w:i/>
          <w:iCs/>
          <w:lang w:val="en-IE"/>
        </w:rPr>
        <w:t>bovis</w:t>
      </w:r>
      <w:proofErr w:type="spellEnd"/>
      <w:r w:rsidR="003F0341" w:rsidRPr="00882D2B">
        <w:rPr>
          <w:lang w:val="en-IE"/>
        </w:rPr>
        <w:t>-</w:t>
      </w:r>
      <w:r w:rsidR="0015316B" w:rsidRPr="00882D2B">
        <w:rPr>
          <w:lang w:val="en-IE"/>
        </w:rPr>
        <w:t>infected animals, particularly when used in the gamma-interferon test (</w:t>
      </w:r>
      <w:proofErr w:type="spellStart"/>
      <w:r w:rsidRPr="00882D2B">
        <w:rPr>
          <w:lang w:val="en-IE"/>
        </w:rPr>
        <w:t>Vorde</w:t>
      </w:r>
      <w:r w:rsidR="00E914F3" w:rsidRPr="00882D2B">
        <w:rPr>
          <w:lang w:val="en-IE"/>
        </w:rPr>
        <w:t>r</w:t>
      </w:r>
      <w:r w:rsidRPr="00882D2B">
        <w:rPr>
          <w:lang w:val="en-IE"/>
        </w:rPr>
        <w:t>m</w:t>
      </w:r>
      <w:r w:rsidR="00E914F3" w:rsidRPr="00882D2B">
        <w:rPr>
          <w:lang w:val="en-IE"/>
        </w:rPr>
        <w:t>eier</w:t>
      </w:r>
      <w:proofErr w:type="spellEnd"/>
      <w:r w:rsidR="00E914F3" w:rsidRPr="00882D2B">
        <w:rPr>
          <w:lang w:val="en-IE"/>
        </w:rPr>
        <w:t xml:space="preserve"> </w:t>
      </w:r>
      <w:r w:rsidR="00E914F3" w:rsidRPr="00882D2B">
        <w:rPr>
          <w:i/>
          <w:iCs/>
          <w:lang w:val="en-IE"/>
        </w:rPr>
        <w:t>et al.,</w:t>
      </w:r>
      <w:r w:rsidR="00E914F3" w:rsidRPr="00882D2B">
        <w:rPr>
          <w:lang w:val="en-IE"/>
        </w:rPr>
        <w:t xml:space="preserve"> 2016</w:t>
      </w:r>
      <w:r w:rsidR="0015316B" w:rsidRPr="00882D2B">
        <w:rPr>
          <w:lang w:val="en-IE"/>
        </w:rPr>
        <w:t>)</w:t>
      </w:r>
      <w:r w:rsidR="00CA3859" w:rsidRPr="00882D2B">
        <w:rPr>
          <w:lang w:val="en-IE"/>
        </w:rPr>
        <w:t xml:space="preserve"> or as skin test reagents (Srinivasan </w:t>
      </w:r>
      <w:r w:rsidR="00CA3859" w:rsidRPr="00882D2B">
        <w:rPr>
          <w:i/>
          <w:iCs/>
          <w:lang w:val="en-IE"/>
        </w:rPr>
        <w:t>et al.,</w:t>
      </w:r>
      <w:r w:rsidR="00CA3859" w:rsidRPr="00882D2B">
        <w:rPr>
          <w:lang w:val="en-IE"/>
        </w:rPr>
        <w:t xml:space="preserve"> 2019</w:t>
      </w:r>
      <w:r w:rsidR="00E914F3" w:rsidRPr="00882D2B">
        <w:rPr>
          <w:lang w:val="en-IE"/>
        </w:rPr>
        <w:t xml:space="preserve">) and </w:t>
      </w:r>
      <w:r w:rsidR="0015316B" w:rsidRPr="00882D2B">
        <w:rPr>
          <w:lang w:val="en-IE"/>
        </w:rPr>
        <w:t xml:space="preserve">are based on the use of </w:t>
      </w:r>
      <w:r w:rsidR="00CA3859" w:rsidRPr="00882D2B">
        <w:rPr>
          <w:lang w:val="en-IE"/>
        </w:rPr>
        <w:t xml:space="preserve">gene products </w:t>
      </w:r>
      <w:r w:rsidR="0015316B" w:rsidRPr="00882D2B">
        <w:rPr>
          <w:lang w:val="en-IE"/>
        </w:rPr>
        <w:t xml:space="preserve">that are encoded on </w:t>
      </w:r>
      <w:r w:rsidR="00EB77B9">
        <w:rPr>
          <w:i/>
          <w:iCs/>
          <w:lang w:val="en-IE"/>
        </w:rPr>
        <w:t>M. </w:t>
      </w:r>
      <w:proofErr w:type="spellStart"/>
      <w:r w:rsidR="0015316B" w:rsidRPr="00882D2B">
        <w:rPr>
          <w:i/>
          <w:iCs/>
          <w:lang w:val="en-IE"/>
        </w:rPr>
        <w:t>bovis</w:t>
      </w:r>
      <w:proofErr w:type="spellEnd"/>
      <w:r w:rsidR="0015316B" w:rsidRPr="00882D2B">
        <w:rPr>
          <w:lang w:val="en-IE"/>
        </w:rPr>
        <w:t xml:space="preserve"> gene regions that are deleted </w:t>
      </w:r>
      <w:r w:rsidR="00E914F3" w:rsidRPr="00882D2B">
        <w:rPr>
          <w:lang w:val="en-IE"/>
        </w:rPr>
        <w:t>or not</w:t>
      </w:r>
      <w:r w:rsidR="0015316B" w:rsidRPr="00882D2B">
        <w:rPr>
          <w:lang w:val="en-IE"/>
        </w:rPr>
        <w:t xml:space="preserve"> expressed in some BCG strains</w:t>
      </w:r>
      <w:r w:rsidR="00E914F3" w:rsidRPr="00882D2B">
        <w:rPr>
          <w:lang w:val="en-IE"/>
        </w:rPr>
        <w:t xml:space="preserve">. Hence, feasibility of </w:t>
      </w:r>
      <w:r w:rsidR="009112AA" w:rsidRPr="00882D2B">
        <w:rPr>
          <w:lang w:val="en-IE"/>
        </w:rPr>
        <w:t xml:space="preserve">implementation of </w:t>
      </w:r>
      <w:r w:rsidR="0015316B" w:rsidRPr="00882D2B">
        <w:rPr>
          <w:lang w:val="en-IE"/>
        </w:rPr>
        <w:t xml:space="preserve">BCG vaccination </w:t>
      </w:r>
      <w:r w:rsidR="009112AA" w:rsidRPr="00882D2B">
        <w:rPr>
          <w:lang w:val="en-IE"/>
        </w:rPr>
        <w:t>in cattle and other livestock species may</w:t>
      </w:r>
      <w:r w:rsidR="008C2586">
        <w:rPr>
          <w:lang w:val="en-IE"/>
        </w:rPr>
        <w:t xml:space="preserve"> be</w:t>
      </w:r>
      <w:r w:rsidR="009112AA" w:rsidRPr="00882D2B">
        <w:rPr>
          <w:lang w:val="en-IE"/>
        </w:rPr>
        <w:t xml:space="preserve"> </w:t>
      </w:r>
      <w:r w:rsidR="00E914F3" w:rsidRPr="00882D2B">
        <w:rPr>
          <w:lang w:val="en-IE"/>
        </w:rPr>
        <w:t>enabled</w:t>
      </w:r>
      <w:r w:rsidR="0015316B" w:rsidRPr="00882D2B">
        <w:rPr>
          <w:lang w:val="en-IE"/>
        </w:rPr>
        <w:t xml:space="preserve"> </w:t>
      </w:r>
      <w:r w:rsidR="00E914F3" w:rsidRPr="00882D2B">
        <w:rPr>
          <w:lang w:val="en-IE"/>
        </w:rPr>
        <w:t>by</w:t>
      </w:r>
      <w:r w:rsidR="0015316B" w:rsidRPr="00882D2B">
        <w:rPr>
          <w:lang w:val="en-IE"/>
        </w:rPr>
        <w:t xml:space="preserve"> </w:t>
      </w:r>
      <w:r w:rsidR="009112AA" w:rsidRPr="00882D2B">
        <w:rPr>
          <w:lang w:val="en-IE"/>
        </w:rPr>
        <w:t xml:space="preserve">availability of </w:t>
      </w:r>
      <w:r w:rsidR="0015316B" w:rsidRPr="00882D2B">
        <w:rPr>
          <w:lang w:val="en-IE"/>
        </w:rPr>
        <w:t xml:space="preserve">DIVA tests once fully validated and the </w:t>
      </w:r>
      <w:r w:rsidR="009112AA" w:rsidRPr="00882D2B">
        <w:rPr>
          <w:lang w:val="en-IE"/>
        </w:rPr>
        <w:t>regulatory</w:t>
      </w:r>
      <w:r w:rsidR="0015316B" w:rsidRPr="00882D2B">
        <w:rPr>
          <w:lang w:val="en-IE"/>
        </w:rPr>
        <w:t xml:space="preserve"> framework</w:t>
      </w:r>
      <w:r w:rsidR="009112AA" w:rsidRPr="00882D2B">
        <w:rPr>
          <w:lang w:val="en-IE"/>
        </w:rPr>
        <w:t>s</w:t>
      </w:r>
      <w:r w:rsidR="0015316B" w:rsidRPr="00882D2B">
        <w:rPr>
          <w:lang w:val="en-IE"/>
        </w:rPr>
        <w:t xml:space="preserve"> </w:t>
      </w:r>
      <w:r w:rsidR="009112AA" w:rsidRPr="00882D2B">
        <w:rPr>
          <w:lang w:val="en-IE"/>
        </w:rPr>
        <w:t>established</w:t>
      </w:r>
      <w:r w:rsidR="0015316B" w:rsidRPr="00882D2B">
        <w:rPr>
          <w:lang w:val="en-IE"/>
        </w:rPr>
        <w:t xml:space="preserve">. </w:t>
      </w:r>
    </w:p>
    <w:p w14:paraId="636598EE" w14:textId="57F2363B" w:rsidR="0015316B" w:rsidRPr="00882D2B" w:rsidRDefault="0015316B" w:rsidP="00090B2D">
      <w:pPr>
        <w:pStyle w:val="paraA0"/>
        <w:rPr>
          <w:lang w:val="en-IE"/>
        </w:rPr>
      </w:pPr>
      <w:r w:rsidRPr="00882D2B">
        <w:rPr>
          <w:lang w:val="en-IE"/>
        </w:rPr>
        <w:t xml:space="preserve">BCG vaccines may also be used to reduce </w:t>
      </w:r>
      <w:r w:rsidR="0038448F" w:rsidRPr="00882D2B">
        <w:rPr>
          <w:lang w:val="en-IE"/>
        </w:rPr>
        <w:t xml:space="preserve">the </w:t>
      </w:r>
      <w:r w:rsidRPr="00882D2B">
        <w:rPr>
          <w:lang w:val="en-IE"/>
        </w:rPr>
        <w:t xml:space="preserve">spread of </w:t>
      </w:r>
      <w:r w:rsidR="00EC41A8" w:rsidRPr="00882D2B">
        <w:rPr>
          <w:i/>
          <w:iCs/>
          <w:lang w:val="en-IE"/>
        </w:rPr>
        <w:t>M. </w:t>
      </w:r>
      <w:proofErr w:type="spellStart"/>
      <w:r w:rsidRPr="00882D2B">
        <w:rPr>
          <w:i/>
          <w:iCs/>
          <w:lang w:val="en-IE"/>
        </w:rPr>
        <w:t>bovis</w:t>
      </w:r>
      <w:proofErr w:type="spellEnd"/>
      <w:r w:rsidRPr="00882D2B">
        <w:rPr>
          <w:lang w:val="en-IE"/>
        </w:rPr>
        <w:t xml:space="preserve"> in wildlife reservoirs of infection</w:t>
      </w:r>
      <w:r w:rsidR="00D7214A" w:rsidRPr="00882D2B">
        <w:rPr>
          <w:lang w:val="en-IE"/>
        </w:rPr>
        <w:t>.</w:t>
      </w:r>
      <w:r w:rsidR="00140119" w:rsidRPr="00882D2B">
        <w:rPr>
          <w:lang w:val="en-IE"/>
        </w:rPr>
        <w:t xml:space="preserve"> </w:t>
      </w:r>
      <w:r w:rsidR="00D7214A" w:rsidRPr="00882D2B">
        <w:rPr>
          <w:lang w:val="en-IE"/>
        </w:rPr>
        <w:t>BCG has be</w:t>
      </w:r>
      <w:r w:rsidR="00CA3859" w:rsidRPr="00882D2B">
        <w:rPr>
          <w:lang w:val="en-IE"/>
        </w:rPr>
        <w:t xml:space="preserve">en granted a limited </w:t>
      </w:r>
      <w:r w:rsidR="00C37E68" w:rsidRPr="001843E6">
        <w:rPr>
          <w:strike/>
          <w:highlight w:val="yellow"/>
          <w:lang w:val="en-IE"/>
        </w:rPr>
        <w:t>marketing authori</w:t>
      </w:r>
      <w:r w:rsidR="00526525" w:rsidRPr="001843E6">
        <w:rPr>
          <w:strike/>
          <w:highlight w:val="yellow"/>
          <w:lang w:val="en-IE"/>
        </w:rPr>
        <w:t>s</w:t>
      </w:r>
      <w:r w:rsidR="00C37E68" w:rsidRPr="001843E6">
        <w:rPr>
          <w:strike/>
          <w:highlight w:val="yellow"/>
          <w:lang w:val="en-IE"/>
        </w:rPr>
        <w:t>ation</w:t>
      </w:r>
      <w:r w:rsidR="001843E6" w:rsidRPr="001843E6">
        <w:rPr>
          <w:strike/>
          <w:highlight w:val="yellow"/>
          <w:lang w:val="en-IE"/>
        </w:rPr>
        <w:t xml:space="preserve"> </w:t>
      </w:r>
      <w:r w:rsidR="007463D3" w:rsidRPr="001843E6">
        <w:rPr>
          <w:highlight w:val="yellow"/>
          <w:u w:val="double"/>
          <w:lang w:val="en-IE"/>
        </w:rPr>
        <w:t>regulatory appr</w:t>
      </w:r>
      <w:r w:rsidR="009325E4" w:rsidRPr="001843E6">
        <w:rPr>
          <w:highlight w:val="yellow"/>
          <w:u w:val="double"/>
          <w:lang w:val="en-IE"/>
        </w:rPr>
        <w:t>o</w:t>
      </w:r>
      <w:r w:rsidR="007463D3" w:rsidRPr="001843E6">
        <w:rPr>
          <w:highlight w:val="yellow"/>
          <w:u w:val="double"/>
          <w:lang w:val="en-IE"/>
        </w:rPr>
        <w:t>val</w:t>
      </w:r>
      <w:r w:rsidR="00C37E68" w:rsidRPr="00882D2B">
        <w:rPr>
          <w:lang w:val="en-IE"/>
        </w:rPr>
        <w:t xml:space="preserve"> </w:t>
      </w:r>
      <w:r w:rsidR="00D7214A" w:rsidRPr="00882D2B">
        <w:rPr>
          <w:lang w:val="en-IE"/>
        </w:rPr>
        <w:t>in the UK fo</w:t>
      </w:r>
      <w:r w:rsidR="00CA3859" w:rsidRPr="00882D2B">
        <w:rPr>
          <w:lang w:val="en-IE"/>
        </w:rPr>
        <w:t>r intramuscular vaccination of b</w:t>
      </w:r>
      <w:r w:rsidR="00D7214A" w:rsidRPr="00882D2B">
        <w:rPr>
          <w:lang w:val="en-IE"/>
        </w:rPr>
        <w:t>adgers at a dose of 2</w:t>
      </w:r>
      <w:r w:rsidR="00EA3A20">
        <w:rPr>
          <w:lang w:val="en-IE"/>
        </w:rPr>
        <w:t>–</w:t>
      </w:r>
      <w:r w:rsidR="00D7214A" w:rsidRPr="00882D2B">
        <w:rPr>
          <w:lang w:val="en-IE"/>
        </w:rPr>
        <w:t xml:space="preserve">8 </w:t>
      </w:r>
      <w:r w:rsidR="00EA3A20">
        <w:rPr>
          <w:lang w:val="en-IE"/>
        </w:rPr>
        <w:t>×</w:t>
      </w:r>
      <w:r w:rsidR="00D7214A" w:rsidRPr="00882D2B">
        <w:rPr>
          <w:lang w:val="en-IE"/>
        </w:rPr>
        <w:t xml:space="preserve"> 10</w:t>
      </w:r>
      <w:r w:rsidR="00D7214A" w:rsidRPr="00882D2B">
        <w:rPr>
          <w:vertAlign w:val="superscript"/>
          <w:lang w:val="en-IE"/>
        </w:rPr>
        <w:t>6</w:t>
      </w:r>
      <w:r w:rsidR="00526525" w:rsidRPr="00882D2B">
        <w:rPr>
          <w:lang w:val="en-IE"/>
        </w:rPr>
        <w:t> </w:t>
      </w:r>
      <w:r w:rsidR="00882D2B" w:rsidRPr="00882D2B">
        <w:rPr>
          <w:lang w:val="en-IE"/>
        </w:rPr>
        <w:t>CFU</w:t>
      </w:r>
      <w:r w:rsidR="00D7214A" w:rsidRPr="00882D2B">
        <w:rPr>
          <w:lang w:val="en-IE"/>
        </w:rPr>
        <w:t xml:space="preserve">. Field trials have found that BCG significantly reduces infection from natural exposure to </w:t>
      </w:r>
      <w:r w:rsidR="00EB77B9">
        <w:rPr>
          <w:i/>
          <w:lang w:val="en-IE"/>
        </w:rPr>
        <w:t>M. </w:t>
      </w:r>
      <w:proofErr w:type="spellStart"/>
      <w:r w:rsidR="00D7214A" w:rsidRPr="00882D2B">
        <w:rPr>
          <w:i/>
          <w:lang w:val="en-IE"/>
        </w:rPr>
        <w:t>bovis</w:t>
      </w:r>
      <w:proofErr w:type="spellEnd"/>
      <w:r w:rsidR="00B33A3A" w:rsidRPr="00882D2B">
        <w:rPr>
          <w:iCs/>
          <w:lang w:val="en-IE"/>
        </w:rPr>
        <w:t xml:space="preserve"> in badgers</w:t>
      </w:r>
      <w:r w:rsidR="0091239F" w:rsidRPr="00882D2B">
        <w:rPr>
          <w:lang w:val="en-IE"/>
        </w:rPr>
        <w:t xml:space="preserve">, </w:t>
      </w:r>
      <w:r w:rsidR="00D7214A" w:rsidRPr="00882D2B">
        <w:rPr>
          <w:lang w:val="en-IE"/>
        </w:rPr>
        <w:t xml:space="preserve">reduces the risk of infection in unvaccinated cubs in vaccinated social groups (Carter </w:t>
      </w:r>
      <w:r w:rsidR="00D7214A" w:rsidRPr="00882D2B">
        <w:rPr>
          <w:i/>
          <w:iCs/>
          <w:lang w:val="en-IE"/>
        </w:rPr>
        <w:t>et al.,</w:t>
      </w:r>
      <w:r w:rsidR="00D7214A" w:rsidRPr="00882D2B">
        <w:rPr>
          <w:lang w:val="en-IE"/>
        </w:rPr>
        <w:t xml:space="preserve"> 201</w:t>
      </w:r>
      <w:r w:rsidR="00232D11" w:rsidRPr="00882D2B">
        <w:rPr>
          <w:lang w:val="en-IE"/>
        </w:rPr>
        <w:t>2</w:t>
      </w:r>
      <w:r w:rsidR="00D7214A" w:rsidRPr="00882D2B">
        <w:rPr>
          <w:lang w:val="en-IE"/>
        </w:rPr>
        <w:t>)</w:t>
      </w:r>
      <w:r w:rsidR="0091239F" w:rsidRPr="00882D2B">
        <w:rPr>
          <w:lang w:val="en-IE"/>
        </w:rPr>
        <w:t xml:space="preserve"> and in some cases </w:t>
      </w:r>
      <w:r w:rsidR="0091239F" w:rsidRPr="00882D2B">
        <w:rPr>
          <w:bCs/>
          <w:lang w:val="en-IE"/>
        </w:rPr>
        <w:t xml:space="preserve">may result in </w:t>
      </w:r>
      <w:r w:rsidR="00421A2F" w:rsidRPr="00882D2B">
        <w:rPr>
          <w:bCs/>
          <w:lang w:val="en-IE"/>
        </w:rPr>
        <w:t xml:space="preserve">a </w:t>
      </w:r>
      <w:r w:rsidR="00D7214A" w:rsidRPr="00882D2B">
        <w:rPr>
          <w:bCs/>
          <w:lang w:val="en-IE"/>
        </w:rPr>
        <w:t xml:space="preserve">lowering </w:t>
      </w:r>
      <w:r w:rsidR="00421A2F" w:rsidRPr="00882D2B">
        <w:rPr>
          <w:bCs/>
          <w:lang w:val="en-IE"/>
        </w:rPr>
        <w:t xml:space="preserve">of </w:t>
      </w:r>
      <w:r w:rsidR="00D7214A" w:rsidRPr="00882D2B">
        <w:rPr>
          <w:bCs/>
          <w:lang w:val="en-IE"/>
        </w:rPr>
        <w:t>cattle TB incidence</w:t>
      </w:r>
      <w:r w:rsidR="0091239F" w:rsidRPr="00882D2B">
        <w:rPr>
          <w:bCs/>
          <w:lang w:val="en-IE"/>
        </w:rPr>
        <w:t xml:space="preserve"> (Martin </w:t>
      </w:r>
      <w:r w:rsidR="0091239F" w:rsidRPr="00882D2B">
        <w:rPr>
          <w:bCs/>
          <w:i/>
          <w:iCs/>
          <w:lang w:val="en-IE"/>
        </w:rPr>
        <w:t>et al.,</w:t>
      </w:r>
      <w:r w:rsidR="0091239F" w:rsidRPr="00882D2B">
        <w:rPr>
          <w:bCs/>
          <w:lang w:val="en-IE"/>
        </w:rPr>
        <w:t xml:space="preserve"> 2020)</w:t>
      </w:r>
      <w:r w:rsidR="00D7214A" w:rsidRPr="00882D2B">
        <w:rPr>
          <w:bCs/>
          <w:lang w:val="en-IE"/>
        </w:rPr>
        <w:t>.</w:t>
      </w:r>
      <w:r w:rsidR="0091239F" w:rsidRPr="00882D2B">
        <w:rPr>
          <w:bCs/>
          <w:lang w:val="en-IE"/>
        </w:rPr>
        <w:t xml:space="preserve"> </w:t>
      </w:r>
      <w:r w:rsidRPr="00882D2B">
        <w:rPr>
          <w:lang w:val="en-IE"/>
        </w:rPr>
        <w:t>Oral dosing of BCG to brush</w:t>
      </w:r>
      <w:r w:rsidR="008D2184">
        <w:rPr>
          <w:lang w:val="en-IE"/>
        </w:rPr>
        <w:t>-</w:t>
      </w:r>
      <w:r w:rsidRPr="00882D2B">
        <w:rPr>
          <w:lang w:val="en-IE"/>
        </w:rPr>
        <w:t>tail</w:t>
      </w:r>
      <w:r w:rsidR="008D2184">
        <w:rPr>
          <w:lang w:val="en-IE"/>
        </w:rPr>
        <w:t>ed</w:t>
      </w:r>
      <w:r w:rsidRPr="00882D2B">
        <w:rPr>
          <w:lang w:val="en-IE"/>
        </w:rPr>
        <w:t xml:space="preserve"> possums and European badgers in field trials have been shown to </w:t>
      </w:r>
      <w:r w:rsidR="0091239F" w:rsidRPr="00882D2B">
        <w:rPr>
          <w:lang w:val="en-IE"/>
        </w:rPr>
        <w:t xml:space="preserve">confer </w:t>
      </w:r>
      <w:r w:rsidRPr="00882D2B">
        <w:rPr>
          <w:lang w:val="en-IE"/>
        </w:rPr>
        <w:t xml:space="preserve">significant </w:t>
      </w:r>
      <w:r w:rsidR="0091239F" w:rsidRPr="00882D2B">
        <w:rPr>
          <w:lang w:val="en-IE"/>
        </w:rPr>
        <w:t xml:space="preserve">protection against </w:t>
      </w:r>
      <w:r w:rsidRPr="00882D2B">
        <w:rPr>
          <w:lang w:val="en-IE"/>
        </w:rPr>
        <w:t xml:space="preserve">natural exposure to </w:t>
      </w:r>
      <w:r w:rsidRPr="00882D2B">
        <w:rPr>
          <w:i/>
          <w:iCs/>
          <w:lang w:val="en-IE"/>
        </w:rPr>
        <w:t>M.</w:t>
      </w:r>
      <w:r w:rsidR="00B91D2C" w:rsidRPr="00882D2B">
        <w:rPr>
          <w:i/>
          <w:iCs/>
          <w:lang w:val="en-IE"/>
        </w:rPr>
        <w:t> </w:t>
      </w:r>
      <w:proofErr w:type="spellStart"/>
      <w:r w:rsidRPr="00882D2B">
        <w:rPr>
          <w:i/>
          <w:iCs/>
          <w:lang w:val="en-IE"/>
        </w:rPr>
        <w:t>bovis</w:t>
      </w:r>
      <w:proofErr w:type="spellEnd"/>
      <w:r w:rsidRPr="00882D2B">
        <w:rPr>
          <w:lang w:val="en-IE"/>
        </w:rPr>
        <w:t xml:space="preserve"> (Gormley </w:t>
      </w:r>
      <w:r w:rsidRPr="00882D2B">
        <w:rPr>
          <w:i/>
          <w:iCs/>
          <w:lang w:val="en-IE"/>
        </w:rPr>
        <w:t>et al.,</w:t>
      </w:r>
      <w:r w:rsidRPr="00882D2B">
        <w:rPr>
          <w:lang w:val="en-IE"/>
        </w:rPr>
        <w:t xml:space="preserve"> 2017</w:t>
      </w:r>
      <w:r w:rsidR="00B91D2C" w:rsidRPr="00882D2B">
        <w:rPr>
          <w:lang w:val="en-IE"/>
        </w:rPr>
        <w:t xml:space="preserve">; Tompkins </w:t>
      </w:r>
      <w:r w:rsidR="00B91D2C" w:rsidRPr="00882D2B">
        <w:rPr>
          <w:i/>
          <w:iCs/>
          <w:lang w:val="en-IE"/>
        </w:rPr>
        <w:t>et al.,</w:t>
      </w:r>
      <w:r w:rsidR="00B91D2C" w:rsidRPr="00882D2B">
        <w:rPr>
          <w:lang w:val="en-IE"/>
        </w:rPr>
        <w:t xml:space="preserve"> 2009</w:t>
      </w:r>
      <w:r w:rsidRPr="00882D2B">
        <w:rPr>
          <w:lang w:val="en-IE"/>
        </w:rPr>
        <w:t xml:space="preserve">). Oral dosing of possums and badgers with BCG vaccine has been shown to be safe, although transient shedding of BCG in faeces has been demonstrated (Perrett </w:t>
      </w:r>
      <w:r w:rsidRPr="00882D2B">
        <w:rPr>
          <w:i/>
          <w:iCs/>
          <w:lang w:val="en-IE"/>
        </w:rPr>
        <w:t>et al.,</w:t>
      </w:r>
      <w:r w:rsidRPr="00882D2B">
        <w:rPr>
          <w:lang w:val="en-IE"/>
        </w:rPr>
        <w:t xml:space="preserve"> 2018). </w:t>
      </w:r>
    </w:p>
    <w:p w14:paraId="6E0C13A0" w14:textId="22DF3F6F" w:rsidR="001B7F48" w:rsidRPr="00882D2B" w:rsidRDefault="001B7F48" w:rsidP="00D14F19">
      <w:pPr>
        <w:pStyle w:val="1"/>
        <w:rPr>
          <w:lang w:val="en-IE"/>
        </w:rPr>
      </w:pPr>
      <w:r w:rsidRPr="00882D2B">
        <w:rPr>
          <w:lang w:val="en-IE"/>
        </w:rPr>
        <w:t>C2</w:t>
      </w:r>
      <w:r w:rsidR="00D14F19" w:rsidRPr="00882D2B">
        <w:rPr>
          <w:lang w:val="en-IE"/>
        </w:rPr>
        <w:t>.</w:t>
      </w:r>
      <w:r w:rsidRPr="00882D2B">
        <w:rPr>
          <w:lang w:val="en-IE"/>
        </w:rPr>
        <w:tab/>
      </w:r>
      <w:r w:rsidRPr="00882D2B">
        <w:t>Production</w:t>
      </w:r>
      <w:r w:rsidRPr="00882D2B">
        <w:rPr>
          <w:lang w:val="en-IE"/>
        </w:rPr>
        <w:t xml:space="preserve"> of tuberculin</w:t>
      </w:r>
    </w:p>
    <w:p w14:paraId="29600769" w14:textId="6F9827AD" w:rsidR="00996D91" w:rsidRDefault="001B7F48" w:rsidP="001B7F48">
      <w:pPr>
        <w:pStyle w:val="paraA0"/>
        <w:rPr>
          <w:spacing w:val="-2"/>
          <w:lang w:val="en-IE"/>
        </w:rPr>
      </w:pPr>
      <w:proofErr w:type="spellStart"/>
      <w:r w:rsidRPr="00882D2B">
        <w:rPr>
          <w:lang w:val="en-IE"/>
        </w:rPr>
        <w:t>Tuberculins</w:t>
      </w:r>
      <w:proofErr w:type="spellEnd"/>
      <w:r w:rsidRPr="00882D2B">
        <w:rPr>
          <w:lang w:val="en-IE"/>
        </w:rPr>
        <w:t xml:space="preserve"> are prepared from the heat inactivated liquid cultures of </w:t>
      </w:r>
      <w:r w:rsidR="00466F26" w:rsidRPr="00882D2B">
        <w:rPr>
          <w:lang w:val="en-IE"/>
        </w:rPr>
        <w:t>MTBC</w:t>
      </w:r>
      <w:r w:rsidRPr="00882D2B">
        <w:rPr>
          <w:lang w:val="en-IE"/>
        </w:rPr>
        <w:t xml:space="preserve"> grown as pellicles on broth. </w:t>
      </w:r>
      <w:r w:rsidR="00044A4E" w:rsidRPr="00882D2B">
        <w:rPr>
          <w:lang w:val="en-IE"/>
        </w:rPr>
        <w:t>These PPDs</w:t>
      </w:r>
      <w:r w:rsidR="005A34B9" w:rsidRPr="00882D2B">
        <w:rPr>
          <w:lang w:val="en-IE"/>
        </w:rPr>
        <w:t xml:space="preserve">, precipitated </w:t>
      </w:r>
      <w:r w:rsidR="00C556A6" w:rsidRPr="00882D2B">
        <w:rPr>
          <w:lang w:val="en-IE"/>
        </w:rPr>
        <w:t xml:space="preserve">using </w:t>
      </w:r>
      <w:r w:rsidR="005A34B9" w:rsidRPr="00882D2B">
        <w:rPr>
          <w:spacing w:val="-2"/>
          <w:lang w:val="en-IE"/>
        </w:rPr>
        <w:t>trichloroacetic acid (TCA) or ammonium sulphate</w:t>
      </w:r>
      <w:r w:rsidR="00C556A6" w:rsidRPr="00882D2B">
        <w:rPr>
          <w:spacing w:val="-2"/>
          <w:lang w:val="en-IE"/>
        </w:rPr>
        <w:t>,</w:t>
      </w:r>
      <w:r w:rsidR="002943B5" w:rsidRPr="00882D2B">
        <w:rPr>
          <w:lang w:val="en-IE"/>
        </w:rPr>
        <w:t xml:space="preserve"> replaced the former </w:t>
      </w:r>
      <w:r w:rsidRPr="00882D2B">
        <w:rPr>
          <w:lang w:val="en-IE"/>
        </w:rPr>
        <w:t xml:space="preserve">heat-concentrated </w:t>
      </w:r>
      <w:proofErr w:type="spellStart"/>
      <w:r w:rsidRPr="00882D2B">
        <w:rPr>
          <w:lang w:val="en-IE"/>
        </w:rPr>
        <w:t>tuberculins</w:t>
      </w:r>
      <w:proofErr w:type="spellEnd"/>
      <w:r w:rsidR="001261BD" w:rsidRPr="00882D2B">
        <w:rPr>
          <w:lang w:val="en-IE"/>
        </w:rPr>
        <w:t>, having</w:t>
      </w:r>
      <w:r w:rsidRPr="00882D2B">
        <w:rPr>
          <w:spacing w:val="-2"/>
          <w:lang w:val="en-IE"/>
        </w:rPr>
        <w:t xml:space="preserve"> a higher specific potency</w:t>
      </w:r>
      <w:r w:rsidR="00A55137" w:rsidRPr="00882D2B">
        <w:rPr>
          <w:spacing w:val="-2"/>
          <w:lang w:val="en-IE"/>
        </w:rPr>
        <w:t>. A</w:t>
      </w:r>
      <w:r w:rsidRPr="00882D2B">
        <w:rPr>
          <w:spacing w:val="-2"/>
          <w:lang w:val="en-IE"/>
        </w:rPr>
        <w:t>dditional filtration steps to remove non-specific cell wall material further increas</w:t>
      </w:r>
      <w:r w:rsidR="0032112E" w:rsidRPr="00882D2B">
        <w:rPr>
          <w:spacing w:val="-2"/>
          <w:lang w:val="en-IE"/>
        </w:rPr>
        <w:t>ed</w:t>
      </w:r>
      <w:r w:rsidRPr="00882D2B">
        <w:rPr>
          <w:spacing w:val="-2"/>
          <w:lang w:val="en-IE"/>
        </w:rPr>
        <w:t xml:space="preserve"> the specificity. In addition a mutant of </w:t>
      </w:r>
      <w:r w:rsidRPr="00882D2B">
        <w:rPr>
          <w:i/>
          <w:iCs/>
          <w:spacing w:val="-2"/>
          <w:lang w:val="en-IE"/>
        </w:rPr>
        <w:t>M.</w:t>
      </w:r>
      <w:r w:rsidR="00EA3A20">
        <w:rPr>
          <w:i/>
          <w:iCs/>
          <w:spacing w:val="-2"/>
          <w:lang w:val="en-IE"/>
        </w:rPr>
        <w:t xml:space="preserve"> </w:t>
      </w:r>
      <w:proofErr w:type="spellStart"/>
      <w:r w:rsidRPr="00882D2B">
        <w:rPr>
          <w:i/>
          <w:iCs/>
          <w:spacing w:val="-2"/>
          <w:lang w:val="en-IE"/>
        </w:rPr>
        <w:t>bovis</w:t>
      </w:r>
      <w:proofErr w:type="spellEnd"/>
      <w:r w:rsidRPr="00882D2B">
        <w:rPr>
          <w:i/>
          <w:iCs/>
          <w:spacing w:val="-2"/>
          <w:lang w:val="en-IE"/>
        </w:rPr>
        <w:t xml:space="preserve">, </w:t>
      </w:r>
      <w:r w:rsidRPr="00882D2B">
        <w:rPr>
          <w:spacing w:val="-2"/>
          <w:lang w:val="en-IE"/>
        </w:rPr>
        <w:t xml:space="preserve">named AN5, </w:t>
      </w:r>
      <w:r w:rsidR="00934E46">
        <w:rPr>
          <w:spacing w:val="-2"/>
          <w:lang w:val="en-IE"/>
        </w:rPr>
        <w:t>that showed</w:t>
      </w:r>
      <w:r w:rsidRPr="00882D2B">
        <w:rPr>
          <w:spacing w:val="-2"/>
          <w:lang w:val="en-IE"/>
        </w:rPr>
        <w:t xml:space="preserve"> </w:t>
      </w:r>
      <w:r w:rsidR="001B5B77">
        <w:rPr>
          <w:spacing w:val="-2"/>
          <w:lang w:val="en-IE"/>
        </w:rPr>
        <w:t>“</w:t>
      </w:r>
      <w:r w:rsidRPr="00882D2B">
        <w:rPr>
          <w:spacing w:val="-2"/>
          <w:lang w:val="en-IE"/>
        </w:rPr>
        <w:t>luxurious</w:t>
      </w:r>
      <w:r w:rsidR="001B5B77">
        <w:rPr>
          <w:spacing w:val="-2"/>
          <w:lang w:val="en-IE"/>
        </w:rPr>
        <w:t>”</w:t>
      </w:r>
      <w:r w:rsidRPr="00882D2B">
        <w:rPr>
          <w:spacing w:val="-2"/>
          <w:lang w:val="en-IE"/>
        </w:rPr>
        <w:t xml:space="preserve"> growth as a pellicle on glycerol broth</w:t>
      </w:r>
      <w:r w:rsidR="003C09E4" w:rsidRPr="003C09E4">
        <w:rPr>
          <w:spacing w:val="-2"/>
          <w:lang w:val="en-IE"/>
        </w:rPr>
        <w:t xml:space="preserve"> </w:t>
      </w:r>
      <w:r w:rsidR="003C09E4">
        <w:rPr>
          <w:spacing w:val="-2"/>
          <w:lang w:val="en-IE"/>
        </w:rPr>
        <w:t xml:space="preserve">was selected to facilitate </w:t>
      </w:r>
      <w:r w:rsidRPr="00882D2B">
        <w:rPr>
          <w:spacing w:val="-2"/>
          <w:lang w:val="en-IE"/>
        </w:rPr>
        <w:t>large scale economic production of PPD-B.</w:t>
      </w:r>
      <w:r w:rsidR="00140119" w:rsidRPr="00882D2B">
        <w:rPr>
          <w:spacing w:val="-2"/>
          <w:lang w:val="en-IE"/>
        </w:rPr>
        <w:t xml:space="preserve"> </w:t>
      </w:r>
    </w:p>
    <w:p w14:paraId="6059CC6C" w14:textId="5B130D9B" w:rsidR="001B7F48" w:rsidRPr="00882D2B" w:rsidRDefault="00271A11" w:rsidP="001B7F48">
      <w:pPr>
        <w:pStyle w:val="paraA0"/>
        <w:rPr>
          <w:lang w:val="en-IE"/>
        </w:rPr>
      </w:pPr>
      <w:r w:rsidRPr="00882D2B">
        <w:rPr>
          <w:lang w:val="en-IE"/>
        </w:rPr>
        <w:t xml:space="preserve">PPD-B produced from cultures of </w:t>
      </w:r>
      <w:r w:rsidRPr="00882D2B">
        <w:rPr>
          <w:i/>
          <w:iCs/>
          <w:lang w:val="en-IE"/>
        </w:rPr>
        <w:t>M. </w:t>
      </w:r>
      <w:proofErr w:type="spellStart"/>
      <w:r w:rsidRPr="00882D2B">
        <w:rPr>
          <w:i/>
          <w:iCs/>
          <w:lang w:val="en-IE"/>
        </w:rPr>
        <w:t>bovis</w:t>
      </w:r>
      <w:proofErr w:type="spellEnd"/>
      <w:r w:rsidRPr="00882D2B">
        <w:rPr>
          <w:lang w:val="en-IE"/>
        </w:rPr>
        <w:t xml:space="preserve"> AN5 was </w:t>
      </w:r>
      <w:r>
        <w:rPr>
          <w:lang w:val="en-IE"/>
        </w:rPr>
        <w:t xml:space="preserve">subsequently </w:t>
      </w:r>
      <w:r w:rsidRPr="00882D2B">
        <w:rPr>
          <w:lang w:val="en-IE"/>
        </w:rPr>
        <w:t xml:space="preserve">shown to be more specific in the intradermal assay in cattle than </w:t>
      </w:r>
      <w:r w:rsidR="00CB39AA">
        <w:rPr>
          <w:lang w:val="en-IE"/>
        </w:rPr>
        <w:t>“</w:t>
      </w:r>
      <w:r w:rsidRPr="00882D2B">
        <w:rPr>
          <w:lang w:val="en-IE"/>
        </w:rPr>
        <w:t>human</w:t>
      </w:r>
      <w:r w:rsidR="00CB39AA">
        <w:rPr>
          <w:lang w:val="en-IE"/>
        </w:rPr>
        <w:t>”</w:t>
      </w:r>
      <w:r w:rsidRPr="00882D2B">
        <w:rPr>
          <w:lang w:val="en-IE"/>
        </w:rPr>
        <w:t xml:space="preserve"> PPD prepared from cultures of </w:t>
      </w:r>
      <w:r w:rsidRPr="00882D2B">
        <w:rPr>
          <w:i/>
          <w:iCs/>
          <w:lang w:val="en-IE"/>
        </w:rPr>
        <w:t>M. tuberculosis</w:t>
      </w:r>
      <w:r>
        <w:rPr>
          <w:i/>
          <w:iCs/>
          <w:lang w:val="en-IE"/>
        </w:rPr>
        <w:t xml:space="preserve"> </w:t>
      </w:r>
      <w:r w:rsidRPr="00B114AA">
        <w:rPr>
          <w:iCs/>
          <w:lang w:val="en-IE"/>
        </w:rPr>
        <w:t xml:space="preserve">that had been used previously </w:t>
      </w:r>
      <w:r>
        <w:rPr>
          <w:iCs/>
          <w:lang w:val="en-IE"/>
        </w:rPr>
        <w:t>in</w:t>
      </w:r>
      <w:r w:rsidRPr="00B114AA">
        <w:rPr>
          <w:iCs/>
          <w:lang w:val="en-IE"/>
        </w:rPr>
        <w:t xml:space="preserve"> eradication campaigns</w:t>
      </w:r>
      <w:r w:rsidRPr="002E12C1">
        <w:rPr>
          <w:lang w:val="en-IE"/>
        </w:rPr>
        <w:t>.</w:t>
      </w:r>
    </w:p>
    <w:p w14:paraId="70042944" w14:textId="7A079810" w:rsidR="001B7F48" w:rsidRPr="00882D2B" w:rsidRDefault="001B7F48" w:rsidP="001B7F48">
      <w:pPr>
        <w:pStyle w:val="paraA0"/>
        <w:rPr>
          <w:lang w:val="en-IE"/>
        </w:rPr>
      </w:pPr>
      <w:bookmarkStart w:id="10" w:name="_Hlk13663176"/>
      <w:r w:rsidRPr="00882D2B">
        <w:rPr>
          <w:lang w:val="en-IE"/>
        </w:rPr>
        <w:t xml:space="preserve">In the interests of standardisation, the </w:t>
      </w:r>
      <w:r w:rsidRPr="00882D2B">
        <w:rPr>
          <w:i/>
          <w:iCs/>
          <w:lang w:val="en-IE"/>
        </w:rPr>
        <w:t xml:space="preserve">Terrestrial Manual </w:t>
      </w:r>
      <w:r w:rsidRPr="00882D2B">
        <w:rPr>
          <w:lang w:val="en-IE"/>
        </w:rPr>
        <w:t xml:space="preserve">will continue to recommend use of PPD-B in the SCT, or in combination with PPD-A </w:t>
      </w:r>
      <w:r w:rsidR="00E1374C" w:rsidRPr="00882D2B">
        <w:rPr>
          <w:lang w:val="en-IE"/>
        </w:rPr>
        <w:t>in the CCT</w:t>
      </w:r>
      <w:r w:rsidR="00C76231" w:rsidRPr="00882D2B">
        <w:rPr>
          <w:lang w:val="en-IE"/>
        </w:rPr>
        <w:t>,</w:t>
      </w:r>
      <w:r w:rsidR="00E1374C" w:rsidRPr="00882D2B">
        <w:rPr>
          <w:lang w:val="en-IE"/>
        </w:rPr>
        <w:t xml:space="preserve"> </w:t>
      </w:r>
      <w:r w:rsidRPr="00882D2B">
        <w:rPr>
          <w:lang w:val="en-IE"/>
        </w:rPr>
        <w:t xml:space="preserve">as the preferred reagent for intradermal skin testing and/or the </w:t>
      </w:r>
      <w:r w:rsidR="001B5056">
        <w:rPr>
          <w:lang w:val="en-IE"/>
        </w:rPr>
        <w:t>IGRA</w:t>
      </w:r>
      <w:r w:rsidR="007D13F1">
        <w:rPr>
          <w:lang w:val="en-IE"/>
        </w:rPr>
        <w:t xml:space="preserve"> </w:t>
      </w:r>
      <w:r w:rsidR="00AC09B0">
        <w:rPr>
          <w:lang w:val="en-IE"/>
        </w:rPr>
        <w:t>in regions where BCG vaccination is not being considered</w:t>
      </w:r>
      <w:r w:rsidRPr="00882D2B">
        <w:rPr>
          <w:lang w:val="en-IE"/>
        </w:rPr>
        <w:t xml:space="preserve">. See </w:t>
      </w:r>
      <w:r w:rsidR="00EB31A7" w:rsidRPr="00882D2B">
        <w:rPr>
          <w:lang w:val="en-IE"/>
        </w:rPr>
        <w:t>Section</w:t>
      </w:r>
      <w:r w:rsidRPr="00882D2B">
        <w:rPr>
          <w:lang w:val="en-IE"/>
        </w:rPr>
        <w:t>s B</w:t>
      </w:r>
      <w:r w:rsidR="00EB31A7" w:rsidRPr="00882D2B">
        <w:rPr>
          <w:lang w:val="en-IE"/>
        </w:rPr>
        <w:t>.</w:t>
      </w:r>
      <w:r w:rsidRPr="00882D2B">
        <w:rPr>
          <w:lang w:val="en-IE"/>
        </w:rPr>
        <w:t xml:space="preserve">2 </w:t>
      </w:r>
      <w:r w:rsidR="00EB31A7" w:rsidRPr="00882D2B">
        <w:rPr>
          <w:i/>
          <w:iCs/>
          <w:lang w:val="en-IE"/>
        </w:rPr>
        <w:t>Delayed hypersensitivity test</w:t>
      </w:r>
      <w:r w:rsidR="00EB31A7" w:rsidRPr="00882D2B">
        <w:rPr>
          <w:lang w:val="en-IE"/>
        </w:rPr>
        <w:t xml:space="preserve"> </w:t>
      </w:r>
      <w:r w:rsidRPr="00882D2B">
        <w:rPr>
          <w:lang w:val="en-IE"/>
        </w:rPr>
        <w:t>and B</w:t>
      </w:r>
      <w:r w:rsidR="00EB31A7" w:rsidRPr="00882D2B">
        <w:rPr>
          <w:lang w:val="en-IE"/>
        </w:rPr>
        <w:t>.</w:t>
      </w:r>
      <w:r w:rsidRPr="00882D2B">
        <w:rPr>
          <w:lang w:val="en-IE"/>
        </w:rPr>
        <w:t xml:space="preserve">3.1 </w:t>
      </w:r>
      <w:r w:rsidR="00EB31A7" w:rsidRPr="00882D2B">
        <w:rPr>
          <w:i/>
          <w:iCs/>
          <w:lang w:val="en-IE"/>
        </w:rPr>
        <w:t>Gamma-interferon assay</w:t>
      </w:r>
      <w:r w:rsidR="00EB31A7" w:rsidRPr="00882D2B">
        <w:rPr>
          <w:lang w:val="en-IE"/>
        </w:rPr>
        <w:t xml:space="preserve"> </w:t>
      </w:r>
      <w:r w:rsidRPr="00882D2B">
        <w:rPr>
          <w:lang w:val="en-IE"/>
        </w:rPr>
        <w:t xml:space="preserve">for details of the test procedures. All PPDs used for national or local surveillance programmes should be validated and calibrated in comparison with established reference standards. </w:t>
      </w:r>
    </w:p>
    <w:bookmarkEnd w:id="10"/>
    <w:p w14:paraId="0008D9D3" w14:textId="257855C5" w:rsidR="001B7F48" w:rsidRPr="00882D2B" w:rsidRDefault="004E7719" w:rsidP="00D14F19">
      <w:pPr>
        <w:pStyle w:val="11"/>
        <w:rPr>
          <w:lang w:val="en-IE"/>
        </w:rPr>
      </w:pPr>
      <w:r w:rsidRPr="00882D2B">
        <w:rPr>
          <w:lang w:val="en-IE"/>
        </w:rPr>
        <w:t>2.</w:t>
      </w:r>
      <w:r w:rsidR="001B7F48" w:rsidRPr="00882D2B">
        <w:rPr>
          <w:lang w:val="en-IE"/>
        </w:rPr>
        <w:t>1.</w:t>
      </w:r>
      <w:r w:rsidR="001B7F48" w:rsidRPr="00882D2B">
        <w:rPr>
          <w:lang w:val="en-IE"/>
        </w:rPr>
        <w:tab/>
      </w:r>
      <w:r w:rsidR="0057669D" w:rsidRPr="00882D2B">
        <w:rPr>
          <w:lang w:val="en-IE"/>
        </w:rPr>
        <w:t>Seed management</w:t>
      </w:r>
    </w:p>
    <w:p w14:paraId="6E991811" w14:textId="12A2E865" w:rsidR="001B7F48" w:rsidRPr="00882D2B" w:rsidRDefault="001B7F48" w:rsidP="009A1120">
      <w:pPr>
        <w:pStyle w:val="11Para"/>
        <w:rPr>
          <w:lang w:val="en-IE"/>
        </w:rPr>
      </w:pPr>
      <w:r w:rsidRPr="00882D2B">
        <w:rPr>
          <w:lang w:val="en-IE"/>
        </w:rPr>
        <w:t>Since the quality of PPD-B largely depends on the ability of the production strain to produce dominant T-cell antigens</w:t>
      </w:r>
      <w:r w:rsidR="00140119" w:rsidRPr="00882D2B">
        <w:rPr>
          <w:lang w:val="en-IE"/>
        </w:rPr>
        <w:t xml:space="preserve"> </w:t>
      </w:r>
      <w:r w:rsidRPr="00882D2B">
        <w:rPr>
          <w:lang w:val="en-IE"/>
        </w:rPr>
        <w:t>like ESAT-6, CFP-10 and Rv3615</w:t>
      </w:r>
      <w:r w:rsidR="00B54E5A" w:rsidRPr="001843E6">
        <w:rPr>
          <w:highlight w:val="yellow"/>
          <w:u w:val="double"/>
          <w:lang w:val="en-IE"/>
        </w:rPr>
        <w:t>c</w:t>
      </w:r>
      <w:r w:rsidRPr="00882D2B">
        <w:rPr>
          <w:lang w:val="en-IE"/>
        </w:rPr>
        <w:t xml:space="preserve"> as well as the ability to grow on glycerol broth, other virulent and well characterised </w:t>
      </w:r>
      <w:r w:rsidR="00EB77B9">
        <w:rPr>
          <w:i/>
          <w:iCs/>
          <w:lang w:val="en-IE"/>
        </w:rPr>
        <w:t>M. </w:t>
      </w:r>
      <w:proofErr w:type="spellStart"/>
      <w:r w:rsidRPr="00882D2B">
        <w:rPr>
          <w:i/>
          <w:iCs/>
          <w:lang w:val="en-IE"/>
        </w:rPr>
        <w:t>bovis</w:t>
      </w:r>
      <w:proofErr w:type="spellEnd"/>
      <w:r w:rsidRPr="00882D2B">
        <w:rPr>
          <w:lang w:val="en-IE"/>
        </w:rPr>
        <w:t xml:space="preserve"> strains could be suitable for the production of PPD-B. However, in the interests of i</w:t>
      </w:r>
      <w:r w:rsidRPr="00882D2B">
        <w:rPr>
          <w:spacing w:val="-2"/>
          <w:lang w:val="en-IE"/>
        </w:rPr>
        <w:t xml:space="preserve">nternational standardisation and harmonisation of production and potency testing it is recommended that defined isolates of </w:t>
      </w:r>
      <w:r w:rsidR="00EB77B9">
        <w:rPr>
          <w:i/>
          <w:iCs/>
          <w:spacing w:val="-2"/>
          <w:lang w:val="en-IE"/>
        </w:rPr>
        <w:t>M. </w:t>
      </w:r>
      <w:proofErr w:type="spellStart"/>
      <w:r w:rsidRPr="00882D2B">
        <w:rPr>
          <w:i/>
          <w:iCs/>
          <w:spacing w:val="-2"/>
          <w:lang w:val="en-IE"/>
        </w:rPr>
        <w:t>bovis</w:t>
      </w:r>
      <w:proofErr w:type="spellEnd"/>
      <w:r w:rsidRPr="00882D2B">
        <w:rPr>
          <w:spacing w:val="-2"/>
          <w:lang w:val="en-IE"/>
        </w:rPr>
        <w:t xml:space="preserve"> AN5 or </w:t>
      </w:r>
      <w:r w:rsidR="00EB77B9">
        <w:rPr>
          <w:i/>
          <w:iCs/>
          <w:lang w:val="en-IE"/>
        </w:rPr>
        <w:t>M. </w:t>
      </w:r>
      <w:proofErr w:type="spellStart"/>
      <w:r w:rsidRPr="00882D2B">
        <w:rPr>
          <w:i/>
          <w:iCs/>
          <w:lang w:val="en-IE"/>
        </w:rPr>
        <w:t>bovis</w:t>
      </w:r>
      <w:proofErr w:type="spellEnd"/>
      <w:r w:rsidRPr="00882D2B">
        <w:rPr>
          <w:lang w:val="en-IE"/>
        </w:rPr>
        <w:t xml:space="preserve"> Vallee should be used </w:t>
      </w:r>
      <w:r w:rsidRPr="00882D2B">
        <w:rPr>
          <w:rStyle w:val="CommentReference"/>
          <w:sz w:val="18"/>
          <w:szCs w:val="18"/>
          <w:lang w:val="en-IE"/>
        </w:rPr>
        <w:t xml:space="preserve">for PPD-B production. </w:t>
      </w:r>
      <w:r w:rsidRPr="00882D2B">
        <w:rPr>
          <w:lang w:val="en-IE"/>
        </w:rPr>
        <w:t xml:space="preserve">These have been in use for over 70 years and are well characterised. A record must be kept of their origins and subsequent history, including the number of passages from the original receipt from a Reference Laboratory (e.g. for AN5 since supplied by </w:t>
      </w:r>
      <w:r w:rsidR="001B5B77">
        <w:rPr>
          <w:lang w:val="en-IE"/>
        </w:rPr>
        <w:t>“</w:t>
      </w:r>
      <w:r w:rsidRPr="00882D2B">
        <w:rPr>
          <w:lang w:val="en-IE"/>
        </w:rPr>
        <w:t>Weybridge</w:t>
      </w:r>
      <w:r w:rsidR="001B5B77">
        <w:rPr>
          <w:lang w:val="en-IE"/>
        </w:rPr>
        <w:t>”</w:t>
      </w:r>
      <w:r w:rsidRPr="00882D2B">
        <w:rPr>
          <w:lang w:val="en-IE"/>
        </w:rPr>
        <w:t xml:space="preserve">), a </w:t>
      </w:r>
      <w:proofErr w:type="spellStart"/>
      <w:r w:rsidRPr="00882D2B">
        <w:rPr>
          <w:lang w:val="en-IE"/>
        </w:rPr>
        <w:t>spoligotype</w:t>
      </w:r>
      <w:proofErr w:type="spellEnd"/>
      <w:r w:rsidRPr="00882D2B">
        <w:rPr>
          <w:lang w:val="en-IE"/>
        </w:rPr>
        <w:t xml:space="preserve"> pattern and (where possible) whole genome sequence data. The strains of </w:t>
      </w:r>
      <w:r w:rsidR="00EB77B9">
        <w:rPr>
          <w:i/>
          <w:iCs/>
          <w:lang w:val="en-IE"/>
        </w:rPr>
        <w:t>M. </w:t>
      </w:r>
      <w:proofErr w:type="spellStart"/>
      <w:r w:rsidRPr="00882D2B">
        <w:rPr>
          <w:i/>
          <w:iCs/>
          <w:lang w:val="en-IE"/>
        </w:rPr>
        <w:t>bovis</w:t>
      </w:r>
      <w:proofErr w:type="spellEnd"/>
      <w:r w:rsidRPr="00882D2B">
        <w:rPr>
          <w:lang w:val="en-IE"/>
        </w:rPr>
        <w:t xml:space="preserve"> used as seed cultures must be shown to be free from contaminating organisms.</w:t>
      </w:r>
    </w:p>
    <w:p w14:paraId="27D87A8A" w14:textId="7ADB1A23" w:rsidR="0015316B" w:rsidRPr="00882D2B" w:rsidRDefault="007F1ED1" w:rsidP="00D14F19">
      <w:pPr>
        <w:pStyle w:val="11"/>
        <w:rPr>
          <w:lang w:val="en-IE"/>
        </w:rPr>
      </w:pPr>
      <w:r w:rsidRPr="00882D2B">
        <w:rPr>
          <w:lang w:val="en-IE"/>
        </w:rPr>
        <w:t>2</w:t>
      </w:r>
      <w:r w:rsidR="0015316B" w:rsidRPr="00882D2B">
        <w:rPr>
          <w:lang w:val="en-IE"/>
        </w:rPr>
        <w:t>.2.</w:t>
      </w:r>
      <w:r w:rsidR="0015316B" w:rsidRPr="00882D2B">
        <w:rPr>
          <w:lang w:val="en-IE"/>
        </w:rPr>
        <w:tab/>
        <w:t>Method of culture</w:t>
      </w:r>
    </w:p>
    <w:p w14:paraId="4AF022E2" w14:textId="09B07566" w:rsidR="00924E4D" w:rsidRPr="00882D2B" w:rsidRDefault="00924E4D" w:rsidP="00924E4D">
      <w:pPr>
        <w:pStyle w:val="11Para"/>
        <w:rPr>
          <w:b/>
          <w:bCs/>
          <w:lang w:val="en-IE"/>
        </w:rPr>
      </w:pPr>
      <w:r w:rsidRPr="00882D2B">
        <w:rPr>
          <w:lang w:val="en-IE"/>
        </w:rPr>
        <w:t>If the source culture for production was a primary isolate grown on solid medium, it is necessary to adapt the organism to grow as a floating culture or pellicle (e.g. by incorporating a sterile piece of potato in the culture flasks of liquid media, such as Watson Reid’s medium). When the culture has been adapted to pellicle growth on the liquid medium, it may be used to produce the Master Seed lot, which is preserved in freeze-dried form. All seed lots should be checked in a pilot study for their ability to support the production of a PPD-B of sufficient quality</w:t>
      </w:r>
      <w:r w:rsidR="00D33750">
        <w:rPr>
          <w:lang w:val="en-IE"/>
        </w:rPr>
        <w:t>.</w:t>
      </w:r>
    </w:p>
    <w:p w14:paraId="79771742" w14:textId="26AC26A0" w:rsidR="00924E4D" w:rsidRPr="00882D2B" w:rsidRDefault="00924E4D" w:rsidP="00924E4D">
      <w:pPr>
        <w:pStyle w:val="11Para"/>
        <w:rPr>
          <w:lang w:val="en-IE"/>
        </w:rPr>
      </w:pPr>
      <w:r w:rsidRPr="00882D2B">
        <w:rPr>
          <w:lang w:val="en-IE"/>
        </w:rPr>
        <w:t>In accordance with GMP guidelines and to guarantee a constant quality of PPD-B, a Seed Lot System of Master and Working seeds for the well</w:t>
      </w:r>
      <w:r w:rsidR="00A50E7D" w:rsidRPr="00882D2B">
        <w:rPr>
          <w:lang w:val="en-IE"/>
        </w:rPr>
        <w:t>-</w:t>
      </w:r>
      <w:r w:rsidRPr="00882D2B">
        <w:rPr>
          <w:lang w:val="en-IE"/>
        </w:rPr>
        <w:t xml:space="preserve">characterised production strain will have to be established and stored at -70°C or below. The Working Seeds used to inoculate the production media must not be more than four culture passages from the Master Seed. </w:t>
      </w:r>
      <w:r w:rsidR="00601BB0" w:rsidRPr="00882D2B">
        <w:rPr>
          <w:lang w:val="en-IE"/>
        </w:rPr>
        <w:t>As</w:t>
      </w:r>
      <w:r w:rsidRPr="00882D2B">
        <w:rPr>
          <w:lang w:val="en-IE"/>
        </w:rPr>
        <w:t xml:space="preserve"> the Working Seeds lose the ability to produce a suitable PPD-B, they should be replaced at frequent intervals with new Working Seeds.</w:t>
      </w:r>
    </w:p>
    <w:p w14:paraId="7F838DF0" w14:textId="2445658F" w:rsidR="004D1AD8" w:rsidRPr="00882D2B" w:rsidRDefault="007F1ED1" w:rsidP="00D14F19">
      <w:pPr>
        <w:pStyle w:val="11"/>
        <w:rPr>
          <w:lang w:val="en-IE"/>
        </w:rPr>
      </w:pPr>
      <w:r w:rsidRPr="00882D2B">
        <w:rPr>
          <w:lang w:val="en-IE"/>
        </w:rPr>
        <w:t>2</w:t>
      </w:r>
      <w:r w:rsidR="004D1AD8" w:rsidRPr="00882D2B">
        <w:rPr>
          <w:lang w:val="en-IE"/>
        </w:rPr>
        <w:t>.3</w:t>
      </w:r>
      <w:r w:rsidR="00D14F19" w:rsidRPr="00882D2B">
        <w:rPr>
          <w:lang w:val="en-IE"/>
        </w:rPr>
        <w:t>.</w:t>
      </w:r>
      <w:r w:rsidR="00D14F19" w:rsidRPr="00882D2B">
        <w:rPr>
          <w:lang w:val="en-IE"/>
        </w:rPr>
        <w:tab/>
      </w:r>
      <w:r w:rsidR="004D1AD8" w:rsidRPr="00882D2B">
        <w:rPr>
          <w:lang w:val="en-IE"/>
        </w:rPr>
        <w:t xml:space="preserve">Method of </w:t>
      </w:r>
      <w:r w:rsidR="00EB5EC0" w:rsidRPr="00882D2B">
        <w:rPr>
          <w:lang w:val="en-IE"/>
        </w:rPr>
        <w:t xml:space="preserve">manufacture </w:t>
      </w:r>
      <w:r w:rsidR="004D1AD8" w:rsidRPr="00882D2B">
        <w:rPr>
          <w:lang w:val="en-IE"/>
        </w:rPr>
        <w:t xml:space="preserve">and in-process </w:t>
      </w:r>
      <w:r w:rsidR="00EB5EC0" w:rsidRPr="00882D2B">
        <w:rPr>
          <w:lang w:val="en-IE"/>
        </w:rPr>
        <w:t>control</w:t>
      </w:r>
    </w:p>
    <w:p w14:paraId="74E93AF4" w14:textId="3D16ADD6" w:rsidR="004D1AD8" w:rsidRPr="00882D2B" w:rsidRDefault="004D1AD8" w:rsidP="00EB5EC0">
      <w:pPr>
        <w:pStyle w:val="11Para"/>
        <w:rPr>
          <w:lang w:val="en-IE"/>
        </w:rPr>
      </w:pPr>
      <w:r w:rsidRPr="00882D2B">
        <w:rPr>
          <w:lang w:val="en-IE"/>
        </w:rPr>
        <w:t>For the production of PPD-B, Working Seeds are inoculated on glycerol broth (made from beef guaranteed free of TSEs) in Roux culture flasks and when a pellicle has been formed on top of the liquid medium, this pellicle will be divided and used to inoculate a larger number of penicillin flasks containing a synthetic production medium, e.g. Dorset-Henley, to avoid non-</w:t>
      </w:r>
      <w:proofErr w:type="spellStart"/>
      <w:r w:rsidRPr="00882D2B">
        <w:rPr>
          <w:i/>
          <w:iCs/>
          <w:lang w:val="en-IE"/>
        </w:rPr>
        <w:t>M.bovis</w:t>
      </w:r>
      <w:proofErr w:type="spellEnd"/>
      <w:r w:rsidRPr="00882D2B">
        <w:rPr>
          <w:lang w:val="en-IE"/>
        </w:rPr>
        <w:t xml:space="preserve"> proteins contaminating the final product.</w:t>
      </w:r>
    </w:p>
    <w:p w14:paraId="32878BC4" w14:textId="2E17580F" w:rsidR="004D1AD8" w:rsidRPr="00882D2B" w:rsidRDefault="004D1AD8" w:rsidP="00EB5EC0">
      <w:pPr>
        <w:pStyle w:val="11Para"/>
        <w:rPr>
          <w:lang w:val="en-IE"/>
        </w:rPr>
      </w:pPr>
      <w:r w:rsidRPr="00882D2B">
        <w:rPr>
          <w:lang w:val="en-IE"/>
        </w:rPr>
        <w:t xml:space="preserve">During growth, which will take approximately 60 days, growth </w:t>
      </w:r>
      <w:r w:rsidR="00A42475">
        <w:rPr>
          <w:lang w:val="en-IE"/>
        </w:rPr>
        <w:t>s</w:t>
      </w:r>
      <w:r w:rsidR="00F24CAE">
        <w:rPr>
          <w:lang w:val="en-IE"/>
        </w:rPr>
        <w:t>hould</w:t>
      </w:r>
      <w:r w:rsidRPr="00882D2B">
        <w:rPr>
          <w:lang w:val="en-IE"/>
        </w:rPr>
        <w:t xml:space="preserve"> be checked daily and when </w:t>
      </w:r>
      <w:r w:rsidR="001B5B77">
        <w:rPr>
          <w:lang w:val="en-IE"/>
        </w:rPr>
        <w:t>“</w:t>
      </w:r>
      <w:r w:rsidRPr="00882D2B">
        <w:rPr>
          <w:lang w:val="en-IE"/>
        </w:rPr>
        <w:t>abnormal</w:t>
      </w:r>
      <w:r w:rsidR="001B5B77">
        <w:rPr>
          <w:lang w:val="en-IE"/>
        </w:rPr>
        <w:t>”</w:t>
      </w:r>
      <w:r w:rsidRPr="00882D2B">
        <w:rPr>
          <w:lang w:val="en-IE"/>
        </w:rPr>
        <w:t xml:space="preserve"> cultures are detected, e.g. showing changes in colour, signs of contamination, or sinking pellicles, these should be removed since they will </w:t>
      </w:r>
      <w:r w:rsidR="00D75097" w:rsidRPr="00882D2B">
        <w:rPr>
          <w:lang w:val="en-IE"/>
        </w:rPr>
        <w:t xml:space="preserve">negatively </w:t>
      </w:r>
      <w:r w:rsidRPr="00882D2B">
        <w:rPr>
          <w:lang w:val="en-IE"/>
        </w:rPr>
        <w:t>affect the quality of the final product</w:t>
      </w:r>
      <w:r w:rsidR="00396FCA">
        <w:rPr>
          <w:lang w:val="en-IE"/>
        </w:rPr>
        <w:t>.</w:t>
      </w:r>
      <w:r w:rsidRPr="00882D2B">
        <w:rPr>
          <w:lang w:val="en-IE"/>
        </w:rPr>
        <w:t xml:space="preserve"> </w:t>
      </w:r>
      <w:r w:rsidR="00A57C2F">
        <w:rPr>
          <w:lang w:val="en-IE"/>
        </w:rPr>
        <w:t>These abnormal cultures should be</w:t>
      </w:r>
      <w:r w:rsidRPr="00882D2B">
        <w:rPr>
          <w:lang w:val="en-IE"/>
        </w:rPr>
        <w:t xml:space="preserve"> discarded after autoclaving. </w:t>
      </w:r>
    </w:p>
    <w:p w14:paraId="1509B20D" w14:textId="26CF3C80" w:rsidR="004D1AD8" w:rsidRPr="00882D2B" w:rsidRDefault="004D1AD8" w:rsidP="00EB5EC0">
      <w:pPr>
        <w:pStyle w:val="11Para"/>
        <w:rPr>
          <w:lang w:val="en-IE"/>
        </w:rPr>
      </w:pPr>
      <w:r w:rsidRPr="00882D2B">
        <w:rPr>
          <w:lang w:val="en-IE"/>
        </w:rPr>
        <w:t>Subsequently, the cultures are heat inactivated at 98</w:t>
      </w:r>
      <w:r w:rsidR="00601BB0" w:rsidRPr="00882D2B">
        <w:rPr>
          <w:lang w:val="en-IE"/>
        </w:rPr>
        <w:t>–</w:t>
      </w:r>
      <w:r w:rsidRPr="00882D2B">
        <w:rPr>
          <w:lang w:val="en-IE"/>
        </w:rPr>
        <w:t>100°C for 2</w:t>
      </w:r>
      <w:r w:rsidR="00601BB0" w:rsidRPr="00882D2B">
        <w:rPr>
          <w:lang w:val="en-IE"/>
        </w:rPr>
        <w:t>–</w:t>
      </w:r>
      <w:r w:rsidRPr="00882D2B">
        <w:rPr>
          <w:lang w:val="en-IE"/>
        </w:rPr>
        <w:t xml:space="preserve">3 hours and cellular debris is removed in a series of filtration steps, starting with coarse filters to remove larger particles and finally clarified using for example a Seitz series of filters with EK1 as the </w:t>
      </w:r>
      <w:r w:rsidR="00785A3A" w:rsidRPr="00882D2B">
        <w:rPr>
          <w:lang w:val="en-IE"/>
        </w:rPr>
        <w:t xml:space="preserve">final </w:t>
      </w:r>
      <w:r w:rsidRPr="00882D2B">
        <w:rPr>
          <w:lang w:val="en-IE"/>
        </w:rPr>
        <w:t>steril</w:t>
      </w:r>
      <w:r w:rsidR="00861AC4" w:rsidRPr="00882D2B">
        <w:rPr>
          <w:lang w:val="en-IE"/>
        </w:rPr>
        <w:t>is</w:t>
      </w:r>
      <w:r w:rsidRPr="00882D2B">
        <w:rPr>
          <w:lang w:val="en-IE"/>
        </w:rPr>
        <w:t xml:space="preserve">ation filter. The combination </w:t>
      </w:r>
      <w:r w:rsidR="003E4E8B" w:rsidRPr="00882D2B">
        <w:rPr>
          <w:lang w:val="en-IE"/>
        </w:rPr>
        <w:t xml:space="preserve">of </w:t>
      </w:r>
      <w:r w:rsidRPr="00882D2B">
        <w:rPr>
          <w:lang w:val="en-IE"/>
        </w:rPr>
        <w:t>different filters and their respective cut-off's as well as the number of each filter used depends largely on the volume to be processed but the removal of as much insoluble material is an essential step to maxim</w:t>
      </w:r>
      <w:r w:rsidR="00861AC4" w:rsidRPr="00882D2B">
        <w:rPr>
          <w:lang w:val="en-IE"/>
        </w:rPr>
        <w:t>is</w:t>
      </w:r>
      <w:r w:rsidRPr="00882D2B">
        <w:rPr>
          <w:lang w:val="en-IE"/>
        </w:rPr>
        <w:t>e the specificity of the final product.</w:t>
      </w:r>
    </w:p>
    <w:p w14:paraId="30005A04" w14:textId="44853B67" w:rsidR="004D1AD8" w:rsidRPr="00882D2B" w:rsidRDefault="004D1AD8" w:rsidP="00EB5EC0">
      <w:pPr>
        <w:pStyle w:val="11Para"/>
        <w:rPr>
          <w:lang w:val="en-IE"/>
        </w:rPr>
      </w:pPr>
      <w:r w:rsidRPr="00882D2B">
        <w:rPr>
          <w:lang w:val="en-IE"/>
        </w:rPr>
        <w:t xml:space="preserve">Proteins in the filtrate are precipitated by </w:t>
      </w:r>
      <w:r w:rsidR="008556A8">
        <w:rPr>
          <w:lang w:val="en-IE"/>
        </w:rPr>
        <w:t>TCA</w:t>
      </w:r>
      <w:r w:rsidRPr="00882D2B">
        <w:rPr>
          <w:lang w:val="en-IE"/>
        </w:rPr>
        <w:t xml:space="preserve"> (or ammonium sulphate depending on the producer). Precipitation is followed by a series of washing </w:t>
      </w:r>
      <w:r w:rsidR="000703F2">
        <w:rPr>
          <w:lang w:val="en-IE"/>
        </w:rPr>
        <w:t>and</w:t>
      </w:r>
      <w:r w:rsidRPr="00882D2B">
        <w:rPr>
          <w:lang w:val="en-IE"/>
        </w:rPr>
        <w:t xml:space="preserve"> centrifugation</w:t>
      </w:r>
      <w:r w:rsidR="000703F2">
        <w:rPr>
          <w:lang w:val="en-IE"/>
        </w:rPr>
        <w:t xml:space="preserve"> steps</w:t>
      </w:r>
      <w:r w:rsidRPr="00882D2B">
        <w:rPr>
          <w:lang w:val="en-IE"/>
        </w:rPr>
        <w:t xml:space="preserve"> </w:t>
      </w:r>
      <w:r w:rsidR="000703F2">
        <w:rPr>
          <w:lang w:val="en-IE"/>
        </w:rPr>
        <w:t>then</w:t>
      </w:r>
      <w:r w:rsidRPr="00882D2B">
        <w:rPr>
          <w:lang w:val="en-IE"/>
        </w:rPr>
        <w:t xml:space="preserve"> </w:t>
      </w:r>
      <w:r w:rsidR="000703F2">
        <w:rPr>
          <w:lang w:val="en-IE"/>
        </w:rPr>
        <w:t>alkaline treatment to bring the</w:t>
      </w:r>
      <w:r w:rsidRPr="00882D2B">
        <w:rPr>
          <w:lang w:val="en-IE"/>
        </w:rPr>
        <w:t xml:space="preserve"> water soluble proteins </w:t>
      </w:r>
      <w:r w:rsidR="000703F2">
        <w:rPr>
          <w:lang w:val="en-IE"/>
        </w:rPr>
        <w:t xml:space="preserve">to a neutral </w:t>
      </w:r>
      <w:r w:rsidR="000703F2" w:rsidRPr="00882D2B">
        <w:rPr>
          <w:lang w:val="en-IE"/>
        </w:rPr>
        <w:t>pH</w:t>
      </w:r>
      <w:r w:rsidR="000703F2">
        <w:rPr>
          <w:lang w:val="en-IE"/>
        </w:rPr>
        <w:t xml:space="preserve"> (</w:t>
      </w:r>
      <w:r w:rsidR="000703F2" w:rsidRPr="00882D2B">
        <w:rPr>
          <w:lang w:val="en-IE"/>
        </w:rPr>
        <w:t>6.5–7.0</w:t>
      </w:r>
      <w:r w:rsidR="000703F2">
        <w:rPr>
          <w:lang w:val="en-IE"/>
        </w:rPr>
        <w:t xml:space="preserve">) </w:t>
      </w:r>
      <w:r w:rsidRPr="00882D2B">
        <w:rPr>
          <w:lang w:val="en-IE"/>
        </w:rPr>
        <w:t xml:space="preserve">in an isotonic glucose-phosphate buffer containing 0.04% w/v phenol. </w:t>
      </w:r>
    </w:p>
    <w:p w14:paraId="188A1543" w14:textId="5D73C5C1" w:rsidR="004D1AD8" w:rsidRPr="00882D2B" w:rsidRDefault="004D1AD8" w:rsidP="00EB5EC0">
      <w:pPr>
        <w:pStyle w:val="11Para"/>
        <w:rPr>
          <w:lang w:val="en-IE"/>
        </w:rPr>
      </w:pPr>
      <w:r w:rsidRPr="00882D2B">
        <w:rPr>
          <w:lang w:val="en-IE"/>
        </w:rPr>
        <w:t xml:space="preserve">The protein concentration of the final product or </w:t>
      </w:r>
      <w:r w:rsidR="00601BB0" w:rsidRPr="00882D2B">
        <w:rPr>
          <w:lang w:val="en-IE"/>
        </w:rPr>
        <w:t>“</w:t>
      </w:r>
      <w:r w:rsidRPr="00882D2B">
        <w:rPr>
          <w:lang w:val="en-IE"/>
        </w:rPr>
        <w:t>concentrate</w:t>
      </w:r>
      <w:r w:rsidR="00601BB0" w:rsidRPr="00882D2B">
        <w:rPr>
          <w:lang w:val="en-IE"/>
        </w:rPr>
        <w:t>”</w:t>
      </w:r>
      <w:r w:rsidRPr="00882D2B">
        <w:rPr>
          <w:lang w:val="en-IE"/>
        </w:rPr>
        <w:t xml:space="preserve"> will be determined by the Kjeldahl method and is routinely presented as total nitrogen and TCA precipitable nitrogen.</w:t>
      </w:r>
    </w:p>
    <w:p w14:paraId="32ECAF29" w14:textId="1A8DDE49" w:rsidR="004D1AD8" w:rsidRPr="00882D2B" w:rsidRDefault="004D1AD8" w:rsidP="00EB5EC0">
      <w:pPr>
        <w:pStyle w:val="11Para"/>
        <w:rPr>
          <w:lang w:val="en-IE"/>
        </w:rPr>
      </w:pPr>
      <w:r w:rsidRPr="00882D2B">
        <w:rPr>
          <w:lang w:val="en-IE"/>
        </w:rPr>
        <w:t xml:space="preserve">The potency and specificity of the final product is determined in the guinea pig assay using the International standards for PPD-B and PPD-A, respectively. </w:t>
      </w:r>
    </w:p>
    <w:p w14:paraId="3D0882AC" w14:textId="7AF87617" w:rsidR="004D1AD8" w:rsidRPr="00882D2B" w:rsidRDefault="004D1AD8" w:rsidP="00EB5EC0">
      <w:pPr>
        <w:pStyle w:val="11Para"/>
        <w:rPr>
          <w:lang w:val="en-IE"/>
        </w:rPr>
      </w:pPr>
      <w:r w:rsidRPr="00882D2B">
        <w:rPr>
          <w:lang w:val="en-IE"/>
        </w:rPr>
        <w:t>Depending on the outcome of the potency assay, final dilutions are made for the commercial product with the same isotonic glucose-phosphate buffer pH 6.5–7.0 containing 0.04% w/v phenol, to obtain a minimal dose of 2000 IU in the intradermal assay. Currently, many commercially available PPD-Bs contain an estimated potency of 2500 or 3000 IU per dose to optimi</w:t>
      </w:r>
      <w:r w:rsidR="00233308" w:rsidRPr="00882D2B">
        <w:rPr>
          <w:lang w:val="en-IE"/>
        </w:rPr>
        <w:t>s</w:t>
      </w:r>
      <w:r w:rsidRPr="00882D2B">
        <w:rPr>
          <w:lang w:val="en-IE"/>
        </w:rPr>
        <w:t>e sensitivity of the intradermal assay.</w:t>
      </w:r>
    </w:p>
    <w:p w14:paraId="0A89E4F8" w14:textId="1884164C" w:rsidR="004D1AD8" w:rsidRPr="00882D2B" w:rsidRDefault="004D1AD8" w:rsidP="00D14F19">
      <w:pPr>
        <w:pStyle w:val="11Para"/>
        <w:rPr>
          <w:lang w:val="en-IE"/>
        </w:rPr>
      </w:pPr>
      <w:r w:rsidRPr="00882D2B">
        <w:rPr>
          <w:lang w:val="en-IE"/>
        </w:rPr>
        <w:t xml:space="preserve">For the specificity of the PPD-B it is essential that the final protein concentration is kept as close as possible to 1.0 mg/ml, products with a higher protein concentration are known to be less specific, hence many countries demand a maximum protein concentration as part of their </w:t>
      </w:r>
      <w:r w:rsidR="006A71F1" w:rsidRPr="00882D2B">
        <w:rPr>
          <w:lang w:val="en-IE"/>
        </w:rPr>
        <w:t>regulatory</w:t>
      </w:r>
      <w:r w:rsidRPr="00882D2B">
        <w:rPr>
          <w:lang w:val="en-IE"/>
        </w:rPr>
        <w:t xml:space="preserve"> requirements.</w:t>
      </w:r>
    </w:p>
    <w:p w14:paraId="6729F33D" w14:textId="3E5EF66D" w:rsidR="0015316B" w:rsidRPr="00882D2B" w:rsidRDefault="007F1ED1" w:rsidP="0057305F">
      <w:pPr>
        <w:pStyle w:val="11"/>
        <w:keepNext/>
        <w:rPr>
          <w:lang w:val="en-IE"/>
        </w:rPr>
      </w:pPr>
      <w:r w:rsidRPr="00882D2B">
        <w:rPr>
          <w:lang w:val="en-IE"/>
        </w:rPr>
        <w:t>2.</w:t>
      </w:r>
      <w:r w:rsidR="0015316B" w:rsidRPr="00882D2B">
        <w:rPr>
          <w:lang w:val="en-IE"/>
        </w:rPr>
        <w:t>4.</w:t>
      </w:r>
      <w:r w:rsidR="0015316B" w:rsidRPr="00882D2B">
        <w:rPr>
          <w:lang w:val="en-IE"/>
        </w:rPr>
        <w:tab/>
        <w:t>Batch control</w:t>
      </w:r>
    </w:p>
    <w:p w14:paraId="4F65491F" w14:textId="77777777" w:rsidR="0015316B" w:rsidRPr="00882D2B" w:rsidRDefault="0015316B" w:rsidP="00D14F19">
      <w:pPr>
        <w:pStyle w:val="11Para"/>
        <w:rPr>
          <w:lang w:val="en-IE"/>
        </w:rPr>
      </w:pPr>
      <w:r w:rsidRPr="00882D2B">
        <w:rPr>
          <w:lang w:val="en-IE"/>
        </w:rPr>
        <w:t xml:space="preserve">Samples should comply with the officially recognised standards for the production of tuberculin as set out in the </w:t>
      </w:r>
      <w:r w:rsidRPr="00882D2B">
        <w:rPr>
          <w:i/>
          <w:iCs/>
          <w:lang w:val="en-IE"/>
        </w:rPr>
        <w:t>European Pharmacopoeia</w:t>
      </w:r>
      <w:r w:rsidRPr="00882D2B">
        <w:rPr>
          <w:lang w:val="en-IE"/>
        </w:rPr>
        <w:t xml:space="preserve"> or equivalent regulatory standards.</w:t>
      </w:r>
    </w:p>
    <w:p w14:paraId="7BB2FB8E" w14:textId="345D4A59" w:rsidR="0015316B" w:rsidRPr="00882D2B" w:rsidRDefault="002C1782" w:rsidP="00D14F19">
      <w:pPr>
        <w:pStyle w:val="111"/>
        <w:rPr>
          <w:lang w:val="en-IE"/>
        </w:rPr>
      </w:pPr>
      <w:r w:rsidRPr="00882D2B">
        <w:rPr>
          <w:lang w:val="en-IE"/>
        </w:rPr>
        <w:t>2.</w:t>
      </w:r>
      <w:r w:rsidR="0015316B" w:rsidRPr="00882D2B">
        <w:rPr>
          <w:lang w:val="en-IE"/>
        </w:rPr>
        <w:t>4.1.</w:t>
      </w:r>
      <w:r w:rsidR="0015316B" w:rsidRPr="00882D2B">
        <w:rPr>
          <w:lang w:val="en-IE"/>
        </w:rPr>
        <w:tab/>
        <w:t>Sterility</w:t>
      </w:r>
    </w:p>
    <w:p w14:paraId="1C6979DD" w14:textId="0470B60B" w:rsidR="0015316B" w:rsidRPr="00882D2B" w:rsidRDefault="0015316B" w:rsidP="00D14F19">
      <w:pPr>
        <w:pStyle w:val="111Para"/>
        <w:rPr>
          <w:lang w:val="en-IE"/>
        </w:rPr>
      </w:pPr>
      <w:r w:rsidRPr="00882D2B">
        <w:rPr>
          <w:lang w:val="en-IE"/>
        </w:rPr>
        <w:t xml:space="preserve">Sterility testing is generally performed according to international guidelines (see also Chapter 1.1.9 </w:t>
      </w:r>
      <w:r w:rsidRPr="00882D2B">
        <w:rPr>
          <w:i/>
          <w:iCs/>
          <w:lang w:val="en-IE"/>
        </w:rPr>
        <w:t>Tests for sterility and freedom from contamination</w:t>
      </w:r>
      <w:r w:rsidR="00D14F19" w:rsidRPr="00882D2B">
        <w:rPr>
          <w:i/>
          <w:iCs/>
          <w:lang w:val="en-IE"/>
        </w:rPr>
        <w:t xml:space="preserve"> of biological materials intended for veterinary use</w:t>
      </w:r>
      <w:r w:rsidRPr="00882D2B">
        <w:rPr>
          <w:lang w:val="en-IE"/>
        </w:rPr>
        <w:t>).</w:t>
      </w:r>
    </w:p>
    <w:p w14:paraId="1574CFC1" w14:textId="2279F88D" w:rsidR="0015316B" w:rsidRPr="00882D2B" w:rsidRDefault="009A4BE7" w:rsidP="00D14F19">
      <w:pPr>
        <w:pStyle w:val="111"/>
        <w:rPr>
          <w:lang w:val="en-IE"/>
        </w:rPr>
      </w:pPr>
      <w:r w:rsidRPr="00882D2B">
        <w:rPr>
          <w:lang w:val="en-IE"/>
        </w:rPr>
        <w:t>2.</w:t>
      </w:r>
      <w:r w:rsidR="0015316B" w:rsidRPr="00882D2B">
        <w:rPr>
          <w:lang w:val="en-IE"/>
        </w:rPr>
        <w:t>4.2.</w:t>
      </w:r>
      <w:r w:rsidR="0015316B" w:rsidRPr="00882D2B">
        <w:rPr>
          <w:lang w:val="en-IE"/>
        </w:rPr>
        <w:tab/>
        <w:t>Safety</w:t>
      </w:r>
    </w:p>
    <w:p w14:paraId="3D52E8FE" w14:textId="19399B90" w:rsidR="0015316B" w:rsidRPr="00882D2B" w:rsidRDefault="0015316B" w:rsidP="00D14F19">
      <w:pPr>
        <w:pStyle w:val="111Para"/>
        <w:rPr>
          <w:lang w:val="en-IE"/>
        </w:rPr>
      </w:pPr>
      <w:r w:rsidRPr="00882D2B">
        <w:rPr>
          <w:lang w:val="en-IE"/>
        </w:rPr>
        <w:t xml:space="preserve">Two </w:t>
      </w:r>
      <w:r w:rsidR="00D14F19" w:rsidRPr="00882D2B">
        <w:rPr>
          <w:lang w:val="en-IE"/>
        </w:rPr>
        <w:t>guinea-pigs</w:t>
      </w:r>
      <w:r w:rsidRPr="00882D2B">
        <w:rPr>
          <w:lang w:val="en-IE"/>
        </w:rPr>
        <w:t>, each weighing not less than 250 g and that have not been treated previously with any material that will interfere with the test, are injected subcutaneously with 0.5 ml of the tuberculin under test. No abnormal effects should occur within 7 days.</w:t>
      </w:r>
    </w:p>
    <w:p w14:paraId="30C135DC" w14:textId="3138BE9B" w:rsidR="0015316B" w:rsidRPr="00882D2B" w:rsidRDefault="0015316B" w:rsidP="00D14F19">
      <w:pPr>
        <w:pStyle w:val="111Para"/>
        <w:rPr>
          <w:lang w:val="en-IE"/>
        </w:rPr>
      </w:pPr>
      <w:r w:rsidRPr="00882D2B">
        <w:rPr>
          <w:lang w:val="en-IE"/>
        </w:rPr>
        <w:t xml:space="preserve">Tests on tuberculin for living mycobacteria may be performed either on the tuberculin immediately before it is dispensed into final containers or on samples taken from the final containers themselves. A sample of at least 10 ml must be taken and this must be injected intraperitoneally into at least two </w:t>
      </w:r>
      <w:r w:rsidR="00D14F19" w:rsidRPr="00882D2B">
        <w:rPr>
          <w:lang w:val="en-IE"/>
        </w:rPr>
        <w:t>guinea-pigs</w:t>
      </w:r>
      <w:r w:rsidRPr="00882D2B">
        <w:rPr>
          <w:lang w:val="en-IE"/>
        </w:rPr>
        <w:t xml:space="preserve">, dividing the dose between them. It is desirable to take a larger sample, such as 50 ml, and to concentrate any residual mycobacteria by centrifugation or membrane filtration. The </w:t>
      </w:r>
      <w:r w:rsidR="00D14F19" w:rsidRPr="00882D2B">
        <w:rPr>
          <w:lang w:val="en-IE"/>
        </w:rPr>
        <w:t>guinea-pigs</w:t>
      </w:r>
      <w:r w:rsidRPr="00882D2B">
        <w:rPr>
          <w:lang w:val="en-IE"/>
        </w:rPr>
        <w:t xml:space="preserve"> are observed for at least 42 days and are then examined macroscopically at post-mortem. Any lesions found are examined microscopically and by culture.</w:t>
      </w:r>
    </w:p>
    <w:p w14:paraId="7F3C0DBD" w14:textId="5B6C056E" w:rsidR="0015316B" w:rsidRPr="00882D2B" w:rsidRDefault="009A4BE7" w:rsidP="00D14F19">
      <w:pPr>
        <w:pStyle w:val="111"/>
        <w:rPr>
          <w:lang w:val="en-IE"/>
        </w:rPr>
      </w:pPr>
      <w:r w:rsidRPr="00882D2B">
        <w:rPr>
          <w:lang w:val="en-IE"/>
        </w:rPr>
        <w:t>2.</w:t>
      </w:r>
      <w:r w:rsidR="0015316B" w:rsidRPr="00882D2B">
        <w:rPr>
          <w:lang w:val="en-IE"/>
        </w:rPr>
        <w:t>4.3.</w:t>
      </w:r>
      <w:r w:rsidR="0015316B" w:rsidRPr="00882D2B">
        <w:rPr>
          <w:lang w:val="en-IE"/>
        </w:rPr>
        <w:tab/>
        <w:t>Sensitising effect</w:t>
      </w:r>
    </w:p>
    <w:p w14:paraId="6CEFF974" w14:textId="2B0F7C9C" w:rsidR="003E14ED" w:rsidRPr="00882D2B" w:rsidRDefault="003E14ED" w:rsidP="00D14F19">
      <w:pPr>
        <w:pStyle w:val="111Para"/>
        <w:rPr>
          <w:lang w:val="en-IE"/>
        </w:rPr>
      </w:pPr>
      <w:r w:rsidRPr="00882D2B">
        <w:rPr>
          <w:lang w:val="en-IE"/>
        </w:rPr>
        <w:t xml:space="preserve">To test the sensitising effect, three </w:t>
      </w:r>
      <w:r w:rsidR="00D14F19" w:rsidRPr="00882D2B">
        <w:rPr>
          <w:lang w:val="en-IE"/>
        </w:rPr>
        <w:t>guinea-pigs</w:t>
      </w:r>
      <w:r w:rsidRPr="00882D2B">
        <w:rPr>
          <w:lang w:val="en-IE"/>
        </w:rPr>
        <w:t xml:space="preserve"> that have not been treated previously with any material that could interfere with the test are injected intradermally on each of three occasions with the equivalent of 500 IU of the PPD-B sample in a 0.1 ml volume. Each </w:t>
      </w:r>
      <w:r w:rsidR="0002565E" w:rsidRPr="00882D2B">
        <w:rPr>
          <w:lang w:val="en-IE"/>
        </w:rPr>
        <w:t>guinea pig</w:t>
      </w:r>
      <w:r w:rsidRPr="00882D2B">
        <w:rPr>
          <w:lang w:val="en-IE"/>
        </w:rPr>
        <w:t xml:space="preserve">, together with each of three control </w:t>
      </w:r>
      <w:r w:rsidR="00D14F19" w:rsidRPr="00882D2B">
        <w:rPr>
          <w:lang w:val="en-IE"/>
        </w:rPr>
        <w:t>guinea-pigs</w:t>
      </w:r>
      <w:r w:rsidRPr="00882D2B">
        <w:rPr>
          <w:lang w:val="en-IE"/>
        </w:rPr>
        <w:t xml:space="preserve"> that have not been injected previously, is injected intradermally 15–21 days after the third injection with the same dose of the same PPD-B sample. The reactions of the two groups of </w:t>
      </w:r>
      <w:r w:rsidR="00D14F19" w:rsidRPr="00882D2B">
        <w:rPr>
          <w:lang w:val="en-IE"/>
        </w:rPr>
        <w:t>guinea-pigs</w:t>
      </w:r>
      <w:r w:rsidRPr="00882D2B">
        <w:rPr>
          <w:lang w:val="en-IE"/>
        </w:rPr>
        <w:t xml:space="preserve"> should not be significantly different when measured 24–28 hours later.</w:t>
      </w:r>
    </w:p>
    <w:p w14:paraId="7EC4D3B1" w14:textId="162644AC" w:rsidR="0015316B" w:rsidRPr="00882D2B" w:rsidRDefault="000C2DAF" w:rsidP="00D14F19">
      <w:pPr>
        <w:pStyle w:val="111"/>
        <w:rPr>
          <w:lang w:val="en-IE"/>
        </w:rPr>
      </w:pPr>
      <w:r w:rsidRPr="00882D2B">
        <w:rPr>
          <w:lang w:val="en-IE"/>
        </w:rPr>
        <w:t>2.</w:t>
      </w:r>
      <w:r w:rsidR="0015316B" w:rsidRPr="00882D2B">
        <w:rPr>
          <w:lang w:val="en-IE"/>
        </w:rPr>
        <w:t>4.4.</w:t>
      </w:r>
      <w:r w:rsidR="0015316B" w:rsidRPr="00882D2B">
        <w:rPr>
          <w:lang w:val="en-IE"/>
        </w:rPr>
        <w:tab/>
        <w:t>Potency</w:t>
      </w:r>
    </w:p>
    <w:p w14:paraId="473743B8" w14:textId="3274B615" w:rsidR="001D020D" w:rsidRPr="00882D2B" w:rsidRDefault="00F5313F" w:rsidP="00D14F19">
      <w:pPr>
        <w:pStyle w:val="111Para"/>
        <w:rPr>
          <w:lang w:val="en-IE"/>
        </w:rPr>
      </w:pPr>
      <w:r w:rsidRPr="00882D2B">
        <w:rPr>
          <w:lang w:val="en-IE"/>
        </w:rPr>
        <w:t>In the 19</w:t>
      </w:r>
      <w:r w:rsidR="004A575D">
        <w:rPr>
          <w:lang w:val="en-IE"/>
        </w:rPr>
        <w:t>8</w:t>
      </w:r>
      <w:r w:rsidRPr="00882D2B">
        <w:rPr>
          <w:lang w:val="en-IE"/>
        </w:rPr>
        <w:t>0s the World Health Organization (WHO)</w:t>
      </w:r>
      <w:r w:rsidR="004233E2" w:rsidRPr="00882D2B">
        <w:rPr>
          <w:lang w:val="en-IE"/>
        </w:rPr>
        <w:t xml:space="preserve"> developed and designated a new international standard</w:t>
      </w:r>
      <w:r w:rsidR="003C0002" w:rsidRPr="00882D2B">
        <w:rPr>
          <w:lang w:val="en-IE"/>
        </w:rPr>
        <w:t xml:space="preserve"> </w:t>
      </w:r>
      <w:r w:rsidR="002650A5" w:rsidRPr="00882D2B">
        <w:rPr>
          <w:lang w:val="en-IE"/>
        </w:rPr>
        <w:t>to which it assigned a unitage of 32,500 </w:t>
      </w:r>
      <w:r w:rsidR="00101C61" w:rsidRPr="00882D2B">
        <w:rPr>
          <w:lang w:val="en-IE"/>
        </w:rPr>
        <w:t>I</w:t>
      </w:r>
      <w:r w:rsidR="002650A5" w:rsidRPr="00882D2B">
        <w:rPr>
          <w:lang w:val="en-IE"/>
        </w:rPr>
        <w:t>U/mg</w:t>
      </w:r>
      <w:r w:rsidR="005B1F97" w:rsidRPr="00882D2B">
        <w:rPr>
          <w:lang w:val="en-IE"/>
        </w:rPr>
        <w:t>, which gave it equivalency to earlier</w:t>
      </w:r>
      <w:r w:rsidR="00482262" w:rsidRPr="00882D2B">
        <w:rPr>
          <w:lang w:val="en-IE"/>
        </w:rPr>
        <w:t xml:space="preserve"> local standards</w:t>
      </w:r>
      <w:r w:rsidR="00101C61" w:rsidRPr="00882D2B">
        <w:rPr>
          <w:lang w:val="en-IE"/>
        </w:rPr>
        <w:t>. This became known as the Bovine International Standard</w:t>
      </w:r>
      <w:r w:rsidR="005B1F97" w:rsidRPr="00882D2B">
        <w:rPr>
          <w:lang w:val="en-IE"/>
        </w:rPr>
        <w:t xml:space="preserve"> </w:t>
      </w:r>
      <w:r w:rsidR="00860B30" w:rsidRPr="00882D2B">
        <w:rPr>
          <w:lang w:val="en-IE"/>
        </w:rPr>
        <w:t xml:space="preserve">(BIS) </w:t>
      </w:r>
      <w:r w:rsidR="00DD1EFF" w:rsidRPr="00882D2B">
        <w:rPr>
          <w:lang w:val="en-IE"/>
        </w:rPr>
        <w:t>t</w:t>
      </w:r>
      <w:r w:rsidR="005B1F97" w:rsidRPr="00882D2B">
        <w:rPr>
          <w:lang w:val="en-IE"/>
        </w:rPr>
        <w:t>uberculin.</w:t>
      </w:r>
      <w:r w:rsidR="00C9747A" w:rsidRPr="00882D2B">
        <w:rPr>
          <w:lang w:val="en-IE"/>
        </w:rPr>
        <w:t xml:space="preserve"> This</w:t>
      </w:r>
      <w:r w:rsidR="001D020D" w:rsidRPr="00882D2B">
        <w:rPr>
          <w:lang w:val="en-IE"/>
        </w:rPr>
        <w:t xml:space="preserve"> </w:t>
      </w:r>
      <w:r w:rsidR="00C9747A" w:rsidRPr="00882D2B">
        <w:rPr>
          <w:lang w:val="en-IE"/>
        </w:rPr>
        <w:t xml:space="preserve">is available from the National Institute for Biological Standards and Control in the UK, for use by Veterinary Services and commercial manufacturers to calibrate national and corporate reference standards to ensure that production batches conform to </w:t>
      </w:r>
      <w:r w:rsidR="00A06052" w:rsidRPr="00882D2B">
        <w:rPr>
          <w:lang w:val="en-IE"/>
        </w:rPr>
        <w:t>international</w:t>
      </w:r>
      <w:r w:rsidR="00C9747A" w:rsidRPr="00882D2B">
        <w:rPr>
          <w:lang w:val="en-IE"/>
        </w:rPr>
        <w:t xml:space="preserve"> standards.</w:t>
      </w:r>
      <w:r w:rsidR="00A06052" w:rsidRPr="00882D2B">
        <w:rPr>
          <w:lang w:val="en-IE"/>
        </w:rPr>
        <w:t xml:space="preserve"> </w:t>
      </w:r>
      <w:r w:rsidR="001D020D" w:rsidRPr="00882D2B">
        <w:rPr>
          <w:lang w:val="en-IE"/>
        </w:rPr>
        <w:t>As supplies</w:t>
      </w:r>
      <w:r w:rsidR="00F97EE7" w:rsidRPr="00882D2B">
        <w:rPr>
          <w:lang w:val="en-IE"/>
        </w:rPr>
        <w:t xml:space="preserve"> </w:t>
      </w:r>
      <w:r w:rsidR="00F240D7" w:rsidRPr="00882D2B">
        <w:rPr>
          <w:lang w:val="en-IE"/>
        </w:rPr>
        <w:t xml:space="preserve">of BIS </w:t>
      </w:r>
      <w:r w:rsidR="00F97EE7" w:rsidRPr="00882D2B">
        <w:rPr>
          <w:lang w:val="en-IE"/>
        </w:rPr>
        <w:t xml:space="preserve">are now limited, the OIE </w:t>
      </w:r>
      <w:r w:rsidR="00011D77" w:rsidRPr="00882D2B">
        <w:rPr>
          <w:lang w:val="en-IE"/>
        </w:rPr>
        <w:t xml:space="preserve">has </w:t>
      </w:r>
      <w:r w:rsidR="009160CF" w:rsidRPr="00882D2B">
        <w:rPr>
          <w:lang w:val="en-IE"/>
        </w:rPr>
        <w:t>initiated an international collaborative study to produce</w:t>
      </w:r>
      <w:r w:rsidR="00BA1855" w:rsidRPr="00882D2B">
        <w:rPr>
          <w:lang w:val="en-IE"/>
        </w:rPr>
        <w:t xml:space="preserve"> </w:t>
      </w:r>
      <w:r w:rsidR="007743F0" w:rsidRPr="00882D2B">
        <w:rPr>
          <w:lang w:val="en-IE"/>
        </w:rPr>
        <w:t xml:space="preserve">and calibrate </w:t>
      </w:r>
      <w:r w:rsidR="00BA1855" w:rsidRPr="00882D2B">
        <w:rPr>
          <w:lang w:val="en-IE"/>
        </w:rPr>
        <w:t xml:space="preserve">a new </w:t>
      </w:r>
      <w:r w:rsidR="001D020D" w:rsidRPr="00882D2B">
        <w:rPr>
          <w:lang w:val="en-IE"/>
        </w:rPr>
        <w:t xml:space="preserve">reference reagent, </w:t>
      </w:r>
      <w:r w:rsidR="00F17124" w:rsidRPr="00882D2B">
        <w:rPr>
          <w:lang w:val="en-IE"/>
        </w:rPr>
        <w:t xml:space="preserve">to be </w:t>
      </w:r>
      <w:r w:rsidR="001D020D" w:rsidRPr="00882D2B">
        <w:rPr>
          <w:lang w:val="en-IE"/>
        </w:rPr>
        <w:t>known as the International Standard Bovine Tuberculin</w:t>
      </w:r>
      <w:r w:rsidR="00516DB9" w:rsidRPr="00882D2B">
        <w:rPr>
          <w:lang w:val="en-IE"/>
        </w:rPr>
        <w:t>-2 (ISBT-2</w:t>
      </w:r>
      <w:r w:rsidR="006177E3" w:rsidRPr="00882D2B">
        <w:rPr>
          <w:lang w:val="en-IE"/>
        </w:rPr>
        <w:t>).</w:t>
      </w:r>
      <w:r w:rsidR="00785802" w:rsidRPr="00882D2B">
        <w:rPr>
          <w:lang w:val="en-IE"/>
        </w:rPr>
        <w:t xml:space="preserve"> An announcement will be made by the OIE </w:t>
      </w:r>
      <w:r w:rsidR="00205D0B" w:rsidRPr="00882D2B">
        <w:rPr>
          <w:lang w:val="en-IE"/>
        </w:rPr>
        <w:t>when its validation</w:t>
      </w:r>
      <w:r w:rsidR="00042292" w:rsidRPr="00882D2B">
        <w:rPr>
          <w:lang w:val="en-IE"/>
        </w:rPr>
        <w:t xml:space="preserve"> has been completed.</w:t>
      </w:r>
      <w:r w:rsidR="001D020D" w:rsidRPr="00882D2B">
        <w:rPr>
          <w:lang w:val="en-IE"/>
        </w:rPr>
        <w:t xml:space="preserve"> </w:t>
      </w:r>
    </w:p>
    <w:p w14:paraId="54BC47D1" w14:textId="2BFA798D" w:rsidR="00066E7B" w:rsidRPr="00882D2B" w:rsidRDefault="00B12A19" w:rsidP="00D14F19">
      <w:pPr>
        <w:pStyle w:val="111Para"/>
        <w:rPr>
          <w:lang w:val="en-IE"/>
        </w:rPr>
      </w:pPr>
      <w:r w:rsidRPr="00882D2B">
        <w:rPr>
          <w:lang w:val="en-IE"/>
        </w:rPr>
        <w:t>C</w:t>
      </w:r>
      <w:r w:rsidR="0015316B" w:rsidRPr="00882D2B">
        <w:rPr>
          <w:lang w:val="en-IE"/>
        </w:rPr>
        <w:t>ountries where bovine PPD tuberculin is produced</w:t>
      </w:r>
      <w:r w:rsidRPr="00882D2B">
        <w:rPr>
          <w:lang w:val="en-IE"/>
        </w:rPr>
        <w:t xml:space="preserve"> should</w:t>
      </w:r>
      <w:r w:rsidR="0015316B" w:rsidRPr="00882D2B">
        <w:rPr>
          <w:lang w:val="en-IE"/>
        </w:rPr>
        <w:t xml:space="preserve"> establish their own national reference preparations for bovine PPD as working standards. These national reference preparations </w:t>
      </w:r>
      <w:r w:rsidR="00860B30" w:rsidRPr="00882D2B">
        <w:rPr>
          <w:lang w:val="en-IE"/>
        </w:rPr>
        <w:t>should be</w:t>
      </w:r>
      <w:r w:rsidR="0015316B" w:rsidRPr="00882D2B">
        <w:rPr>
          <w:lang w:val="en-IE"/>
        </w:rPr>
        <w:t xml:space="preserve"> calibrated </w:t>
      </w:r>
      <w:r w:rsidR="00BC1A2E" w:rsidRPr="00882D2B">
        <w:rPr>
          <w:lang w:val="en-IE"/>
        </w:rPr>
        <w:t xml:space="preserve">in </w:t>
      </w:r>
      <w:r w:rsidR="00D14F19" w:rsidRPr="00882D2B">
        <w:rPr>
          <w:lang w:val="en-IE"/>
        </w:rPr>
        <w:t>guinea-pigs</w:t>
      </w:r>
      <w:r w:rsidR="00BC1A2E" w:rsidRPr="00882D2B">
        <w:rPr>
          <w:lang w:val="en-IE"/>
        </w:rPr>
        <w:t xml:space="preserve"> </w:t>
      </w:r>
      <w:r w:rsidR="0015316B" w:rsidRPr="00882D2B">
        <w:rPr>
          <w:lang w:val="en-IE"/>
        </w:rPr>
        <w:t>against the official international standard</w:t>
      </w:r>
      <w:r w:rsidR="00DD1EFF" w:rsidRPr="00882D2B">
        <w:rPr>
          <w:lang w:val="en-IE"/>
        </w:rPr>
        <w:t xml:space="preserve"> (BIS/ISBT-2)</w:t>
      </w:r>
      <w:r w:rsidR="0015316B" w:rsidRPr="00882D2B">
        <w:rPr>
          <w:lang w:val="en-IE"/>
        </w:rPr>
        <w:t xml:space="preserve"> for bovine PPD.</w:t>
      </w:r>
    </w:p>
    <w:p w14:paraId="638304F6" w14:textId="7C33C855" w:rsidR="0015316B" w:rsidRPr="00882D2B" w:rsidRDefault="001A433C" w:rsidP="001F0456">
      <w:pPr>
        <w:pStyle w:val="afourthlevel"/>
        <w:rPr>
          <w:lang w:val="en-IE"/>
        </w:rPr>
      </w:pPr>
      <w:r w:rsidRPr="00882D2B">
        <w:rPr>
          <w:lang w:val="en-IE"/>
        </w:rPr>
        <w:t>2.</w:t>
      </w:r>
      <w:r w:rsidR="0015316B" w:rsidRPr="00882D2B">
        <w:rPr>
          <w:lang w:val="en-IE"/>
        </w:rPr>
        <w:t>4.4.1.</w:t>
      </w:r>
      <w:r w:rsidR="0015316B" w:rsidRPr="00882D2B">
        <w:rPr>
          <w:lang w:val="en-IE"/>
        </w:rPr>
        <w:tab/>
        <w:t xml:space="preserve">Standardisation </w:t>
      </w:r>
      <w:r w:rsidR="007E0F03" w:rsidRPr="00882D2B">
        <w:rPr>
          <w:lang w:val="en-IE"/>
        </w:rPr>
        <w:t>of</w:t>
      </w:r>
      <w:r w:rsidR="00194B7A" w:rsidRPr="00882D2B">
        <w:rPr>
          <w:lang w:val="en-IE"/>
        </w:rPr>
        <w:t xml:space="preserve"> bovine PPD</w:t>
      </w:r>
    </w:p>
    <w:p w14:paraId="68D03190" w14:textId="13FBC6FE" w:rsidR="003F559E" w:rsidRPr="00882D2B" w:rsidRDefault="003F559E" w:rsidP="001F0456">
      <w:pPr>
        <w:pStyle w:val="ififthlevel"/>
        <w:rPr>
          <w:i/>
          <w:iCs/>
          <w:lang w:val="en-IE"/>
        </w:rPr>
      </w:pPr>
      <w:r w:rsidRPr="00882D2B">
        <w:rPr>
          <w:lang w:val="en-IE"/>
        </w:rPr>
        <w:t>a)</w:t>
      </w:r>
      <w:r w:rsidR="00223C40" w:rsidRPr="00882D2B">
        <w:rPr>
          <w:lang w:val="en-IE"/>
        </w:rPr>
        <w:tab/>
      </w:r>
      <w:r w:rsidR="00D14F19" w:rsidRPr="00882D2B">
        <w:rPr>
          <w:lang w:val="en-IE"/>
        </w:rPr>
        <w:t>Guinea-pigs</w:t>
      </w:r>
      <w:r w:rsidR="00223C40" w:rsidRPr="00882D2B">
        <w:rPr>
          <w:lang w:val="en-IE"/>
        </w:rPr>
        <w:t xml:space="preserve"> sensitised with live </w:t>
      </w:r>
      <w:r w:rsidR="00EB77B9">
        <w:rPr>
          <w:i/>
          <w:iCs/>
          <w:lang w:val="en-IE"/>
        </w:rPr>
        <w:t>M.</w:t>
      </w:r>
      <w:r w:rsidR="00EB77B9">
        <w:rPr>
          <w:rFonts w:ascii="Calibri" w:hAnsi="Calibri" w:cs="Calibri"/>
          <w:i/>
          <w:iCs/>
          <w:lang w:val="en-IE"/>
        </w:rPr>
        <w:t> </w:t>
      </w:r>
      <w:proofErr w:type="spellStart"/>
      <w:r w:rsidR="00223C40" w:rsidRPr="00882D2B">
        <w:rPr>
          <w:i/>
          <w:iCs/>
          <w:lang w:val="en-IE"/>
        </w:rPr>
        <w:t>bovis</w:t>
      </w:r>
      <w:proofErr w:type="spellEnd"/>
    </w:p>
    <w:p w14:paraId="6A692AEF" w14:textId="6D3E8F09" w:rsidR="00B821A2" w:rsidRPr="00882D2B" w:rsidRDefault="00B821A2" w:rsidP="001F0456">
      <w:pPr>
        <w:pStyle w:val="ififthpara"/>
        <w:rPr>
          <w:lang w:val="en-IE"/>
        </w:rPr>
      </w:pPr>
      <w:r w:rsidRPr="00882D2B">
        <w:rPr>
          <w:lang w:val="en-IE"/>
        </w:rPr>
        <w:t xml:space="preserve">The potency of a PPD-B sample is determined by comparison with a reference preparation of PPD-B, either the </w:t>
      </w:r>
      <w:r w:rsidR="00085AA8" w:rsidRPr="00882D2B">
        <w:rPr>
          <w:lang w:val="en-IE"/>
        </w:rPr>
        <w:t>international standard</w:t>
      </w:r>
      <w:r w:rsidRPr="00882D2B">
        <w:rPr>
          <w:lang w:val="en-IE"/>
        </w:rPr>
        <w:t xml:space="preserve"> or a derived national reference standard, in </w:t>
      </w:r>
      <w:r w:rsidR="00D14F19" w:rsidRPr="00882D2B">
        <w:rPr>
          <w:lang w:val="en-IE"/>
        </w:rPr>
        <w:t>guinea-pigs</w:t>
      </w:r>
      <w:r w:rsidRPr="00882D2B">
        <w:rPr>
          <w:lang w:val="en-IE"/>
        </w:rPr>
        <w:t xml:space="preserve"> infected with the production strain used e.g. </w:t>
      </w:r>
      <w:r w:rsidR="00EB77B9">
        <w:rPr>
          <w:i/>
          <w:iCs/>
          <w:lang w:val="en-IE"/>
        </w:rPr>
        <w:t>M. </w:t>
      </w:r>
      <w:proofErr w:type="spellStart"/>
      <w:r w:rsidRPr="00882D2B">
        <w:rPr>
          <w:i/>
          <w:iCs/>
          <w:lang w:val="en-IE"/>
        </w:rPr>
        <w:t>bovis</w:t>
      </w:r>
      <w:proofErr w:type="spellEnd"/>
      <w:r w:rsidRPr="00882D2B">
        <w:rPr>
          <w:lang w:val="en-IE"/>
        </w:rPr>
        <w:t xml:space="preserve"> AN5.</w:t>
      </w:r>
    </w:p>
    <w:p w14:paraId="3EB1E441" w14:textId="22DC5F81" w:rsidR="00B821A2" w:rsidRPr="00882D2B" w:rsidRDefault="00B821A2" w:rsidP="001F0456">
      <w:pPr>
        <w:pStyle w:val="ififthpara"/>
        <w:rPr>
          <w:lang w:val="en-IE"/>
        </w:rPr>
      </w:pPr>
      <w:r w:rsidRPr="00882D2B">
        <w:rPr>
          <w:lang w:val="en-IE"/>
        </w:rPr>
        <w:t>The model, including variables such as breed and supplier of animals, infection dose, duration of infection needs to be validated prior to performing the assay: the combination of these variables and the expected potency of the serial dilutions of the PPD-B samples should result in lesions with a diameter of not less than 8 mm and not more than 25 mm for the assay to be valid. Infection doses can differ considerably between batches with regard to their virulence and each new batch will have to be carefully tested to avoid animal welfare issues as well as open tuberculosis which would result in excretion of bacilli and thus an increased health risk for the operators.</w:t>
      </w:r>
    </w:p>
    <w:p w14:paraId="7669E212" w14:textId="3B15D389" w:rsidR="00B821A2" w:rsidRPr="00882D2B" w:rsidRDefault="00B821A2" w:rsidP="001F0456">
      <w:pPr>
        <w:pStyle w:val="ififthpara"/>
        <w:rPr>
          <w:lang w:val="en-IE"/>
        </w:rPr>
      </w:pPr>
      <w:r w:rsidRPr="00882D2B">
        <w:rPr>
          <w:lang w:val="en-IE"/>
        </w:rPr>
        <w:t xml:space="preserve">At least 8 albino </w:t>
      </w:r>
      <w:r w:rsidR="00D14F19" w:rsidRPr="00882D2B">
        <w:rPr>
          <w:lang w:val="en-IE"/>
        </w:rPr>
        <w:t>guinea-pigs</w:t>
      </w:r>
      <w:r w:rsidRPr="00882D2B">
        <w:rPr>
          <w:lang w:val="en-IE"/>
        </w:rPr>
        <w:t xml:space="preserve">, each weighing 400-600 g, are infected with a low dose, e.g. 0.0001 mg wet mass of live bacilli of the homologous production strain e.g. </w:t>
      </w:r>
      <w:r w:rsidRPr="00882D2B">
        <w:rPr>
          <w:i/>
          <w:iCs/>
          <w:lang w:val="en-IE"/>
        </w:rPr>
        <w:t>M. </w:t>
      </w:r>
      <w:proofErr w:type="spellStart"/>
      <w:r w:rsidRPr="00882D2B">
        <w:rPr>
          <w:i/>
          <w:iCs/>
          <w:lang w:val="en-IE"/>
        </w:rPr>
        <w:t>bovis</w:t>
      </w:r>
      <w:proofErr w:type="spellEnd"/>
      <w:r w:rsidRPr="00882D2B">
        <w:rPr>
          <w:lang w:val="en-IE"/>
        </w:rPr>
        <w:t xml:space="preserve"> AN5 not less than 4</w:t>
      </w:r>
      <w:r w:rsidR="003B6E4C" w:rsidRPr="00882D2B">
        <w:rPr>
          <w:lang w:val="en-IE"/>
        </w:rPr>
        <w:t> </w:t>
      </w:r>
      <w:r w:rsidRPr="00882D2B">
        <w:rPr>
          <w:lang w:val="en-IE"/>
        </w:rPr>
        <w:t>weeks prior to the assay. The bacilli are suspended in 0.5 ml of a 9</w:t>
      </w:r>
      <w:r w:rsidR="00F66715" w:rsidRPr="00882D2B">
        <w:rPr>
          <w:lang w:val="en-IE"/>
        </w:rPr>
        <w:t> </w:t>
      </w:r>
      <w:r w:rsidRPr="00882D2B">
        <w:rPr>
          <w:lang w:val="en-IE"/>
        </w:rPr>
        <w:t>g/l solution of sodium chloride and a deep intramuscular injection is made on the medial side of the thigh.</w:t>
      </w:r>
    </w:p>
    <w:p w14:paraId="0556FD05" w14:textId="73965105" w:rsidR="00B821A2" w:rsidRPr="00882D2B" w:rsidRDefault="00B821A2" w:rsidP="001F0456">
      <w:pPr>
        <w:pStyle w:val="ififthpara"/>
        <w:rPr>
          <w:lang w:val="en-IE"/>
        </w:rPr>
      </w:pPr>
      <w:r w:rsidRPr="00882D2B">
        <w:rPr>
          <w:lang w:val="en-IE"/>
        </w:rPr>
        <w:t xml:space="preserve"> A suitable design for a potency assay is as follows: The potency of </w:t>
      </w:r>
      <w:r w:rsidR="0086241B" w:rsidRPr="00882D2B">
        <w:rPr>
          <w:lang w:val="en-IE"/>
        </w:rPr>
        <w:t>two</w:t>
      </w:r>
      <w:r w:rsidRPr="00882D2B">
        <w:rPr>
          <w:lang w:val="en-IE"/>
        </w:rPr>
        <w:t xml:space="preserve"> PPD-B samples is estimated in the above infection model of 8 or 9 </w:t>
      </w:r>
      <w:r w:rsidR="00D14F19" w:rsidRPr="00882D2B">
        <w:rPr>
          <w:lang w:val="en-IE"/>
        </w:rPr>
        <w:t>guinea-pigs</w:t>
      </w:r>
      <w:r w:rsidRPr="00882D2B">
        <w:rPr>
          <w:lang w:val="en-IE"/>
        </w:rPr>
        <w:t xml:space="preserve"> against the standard for PPD-B</w:t>
      </w:r>
      <w:r w:rsidR="00CB4623">
        <w:rPr>
          <w:lang w:val="en-IE"/>
        </w:rPr>
        <w:t>,</w:t>
      </w:r>
      <w:r w:rsidRPr="00882D2B">
        <w:rPr>
          <w:lang w:val="en-IE"/>
        </w:rPr>
        <w:t xml:space="preserve"> </w:t>
      </w:r>
      <w:r w:rsidR="00CB4623">
        <w:rPr>
          <w:lang w:val="en-IE"/>
        </w:rPr>
        <w:t>with</w:t>
      </w:r>
      <w:r w:rsidRPr="00882D2B">
        <w:rPr>
          <w:lang w:val="en-IE"/>
        </w:rPr>
        <w:t xml:space="preserve"> three dilutions at five-fold intervals of each PPD-B, the 2 samples as well as the standard. The dilutions of the tuberculin preparations are made in isotonic phosphate-buffered saline (pH 6.5</w:t>
      </w:r>
      <w:r w:rsidR="00882D2B" w:rsidRPr="00882D2B">
        <w:rPr>
          <w:lang w:val="en-IE"/>
        </w:rPr>
        <w:t>–</w:t>
      </w:r>
      <w:r w:rsidRPr="00882D2B">
        <w:rPr>
          <w:lang w:val="en-IE"/>
        </w:rPr>
        <w:t>7.5) containing 0.005 g/l of polysorbate</w:t>
      </w:r>
      <w:r w:rsidR="005A1759" w:rsidRPr="00882D2B">
        <w:rPr>
          <w:lang w:val="en-IE"/>
        </w:rPr>
        <w:t> </w:t>
      </w:r>
      <w:r w:rsidRPr="00882D2B">
        <w:rPr>
          <w:lang w:val="en-IE"/>
        </w:rPr>
        <w:t>80. The optimal concentrations are chosen in such a way that good readable skin reactions are obtained with acceptable (8</w:t>
      </w:r>
      <w:r w:rsidR="00882D2B" w:rsidRPr="00882D2B">
        <w:rPr>
          <w:lang w:val="en-IE"/>
        </w:rPr>
        <w:t>–</w:t>
      </w:r>
      <w:r w:rsidRPr="00882D2B">
        <w:rPr>
          <w:lang w:val="en-IE"/>
        </w:rPr>
        <w:t>25</w:t>
      </w:r>
      <w:r w:rsidR="00882D2B" w:rsidRPr="00882D2B">
        <w:rPr>
          <w:lang w:val="en-IE"/>
        </w:rPr>
        <w:t xml:space="preserve"> </w:t>
      </w:r>
      <w:r w:rsidRPr="00882D2B">
        <w:rPr>
          <w:lang w:val="en-IE"/>
        </w:rPr>
        <w:t>mm) limits.</w:t>
      </w:r>
      <w:r w:rsidR="00140119" w:rsidRPr="00882D2B">
        <w:rPr>
          <w:lang w:val="en-IE"/>
        </w:rPr>
        <w:t xml:space="preserve"> </w:t>
      </w:r>
      <w:r w:rsidRPr="00882D2B">
        <w:rPr>
          <w:lang w:val="en-IE"/>
        </w:rPr>
        <w:t>As an example: amoun</w:t>
      </w:r>
      <w:r w:rsidR="00D046C6" w:rsidRPr="00882D2B">
        <w:rPr>
          <w:lang w:val="en-IE"/>
        </w:rPr>
        <w:t>t</w:t>
      </w:r>
      <w:r w:rsidRPr="00882D2B">
        <w:rPr>
          <w:lang w:val="en-IE"/>
        </w:rPr>
        <w:t xml:space="preserve">s of 0.001, 0.0002 and 0.00004 mg PPD-protein corresponding to the international standard for PPD of 32, 6.4 and 1.28 IU, respectively, can be used. The injection volume is 0.2 ml. </w:t>
      </w:r>
    </w:p>
    <w:p w14:paraId="75354EBA" w14:textId="755F0453" w:rsidR="00B821A2" w:rsidRPr="00882D2B" w:rsidRDefault="00B821A2" w:rsidP="001F0456">
      <w:pPr>
        <w:pStyle w:val="ififthpara"/>
        <w:rPr>
          <w:lang w:val="en-IE"/>
        </w:rPr>
      </w:pPr>
      <w:r w:rsidRPr="00882D2B">
        <w:rPr>
          <w:lang w:val="en-IE"/>
        </w:rPr>
        <w:t xml:space="preserve">In a single assay, two test PPDs are compared with the standard PPD in nine </w:t>
      </w:r>
      <w:r w:rsidR="00D14F19" w:rsidRPr="00882D2B">
        <w:rPr>
          <w:lang w:val="en-IE"/>
        </w:rPr>
        <w:t>guinea-pigs</w:t>
      </w:r>
      <w:r w:rsidRPr="00882D2B">
        <w:rPr>
          <w:lang w:val="en-IE"/>
        </w:rPr>
        <w:t>, applying eight intradermal injections per animal and employing a balanced incomplete Latin square design.</w:t>
      </w:r>
    </w:p>
    <w:p w14:paraId="191A3254" w14:textId="2ED0D975" w:rsidR="00B821A2" w:rsidRPr="00882D2B" w:rsidRDefault="00B821A2" w:rsidP="001F0456">
      <w:pPr>
        <w:pStyle w:val="ififthpara"/>
        <w:rPr>
          <w:lang w:val="en-IE"/>
        </w:rPr>
      </w:pPr>
      <w:r w:rsidRPr="00882D2B">
        <w:rPr>
          <w:lang w:val="en-IE"/>
        </w:rPr>
        <w:t xml:space="preserve">Normally, the reading of the assays is done 24 hours after the injection of the </w:t>
      </w:r>
      <w:proofErr w:type="spellStart"/>
      <w:r w:rsidRPr="00882D2B">
        <w:rPr>
          <w:lang w:val="en-IE"/>
        </w:rPr>
        <w:t>tuberculins</w:t>
      </w:r>
      <w:proofErr w:type="spellEnd"/>
      <w:r w:rsidRPr="00882D2B">
        <w:rPr>
          <w:lang w:val="en-IE"/>
        </w:rPr>
        <w:t xml:space="preserve">, but a second additional reading can be performed after 48 hours. The different diameters of erythema are measured with </w:t>
      </w:r>
      <w:proofErr w:type="spellStart"/>
      <w:r w:rsidRPr="00882D2B">
        <w:rPr>
          <w:lang w:val="en-IE"/>
        </w:rPr>
        <w:t>calipers</w:t>
      </w:r>
      <w:proofErr w:type="spellEnd"/>
      <w:r w:rsidRPr="00882D2B">
        <w:rPr>
          <w:lang w:val="en-IE"/>
        </w:rPr>
        <w:t xml:space="preserve"> in tenths of a millimetre and recorded on assay sheets. The results are statistically evaluated using standard statistical methods for parallel-line assays according to Finney</w:t>
      </w:r>
      <w:r w:rsidR="006C0526" w:rsidRPr="00882D2B">
        <w:rPr>
          <w:lang w:val="en-IE"/>
        </w:rPr>
        <w:t xml:space="preserve"> (1978)</w:t>
      </w:r>
      <w:r w:rsidRPr="00882D2B">
        <w:rPr>
          <w:lang w:val="en-IE"/>
        </w:rPr>
        <w:t xml:space="preserve">. A statistical program for the parallel line analysis, </w:t>
      </w:r>
      <w:proofErr w:type="spellStart"/>
      <w:r w:rsidRPr="00882D2B">
        <w:rPr>
          <w:lang w:val="en-IE"/>
        </w:rPr>
        <w:t>Combistats</w:t>
      </w:r>
      <w:proofErr w:type="spellEnd"/>
      <w:r w:rsidRPr="00882D2B">
        <w:rPr>
          <w:lang w:val="en-IE"/>
        </w:rPr>
        <w:t xml:space="preserve">, is available from the European Pharmacopeia or EDQM. </w:t>
      </w:r>
    </w:p>
    <w:p w14:paraId="1D0984A1" w14:textId="77777777" w:rsidR="00B821A2" w:rsidRPr="00882D2B" w:rsidRDefault="00B821A2" w:rsidP="001F0456">
      <w:pPr>
        <w:pStyle w:val="ififthpara"/>
        <w:rPr>
          <w:lang w:val="en-IE"/>
        </w:rPr>
      </w:pPr>
      <w:r w:rsidRPr="00882D2B">
        <w:rPr>
          <w:lang w:val="en-IE"/>
        </w:rPr>
        <w:t xml:space="preserve">The relative potencies of the two test </w:t>
      </w:r>
      <w:proofErr w:type="spellStart"/>
      <w:r w:rsidRPr="00882D2B">
        <w:rPr>
          <w:lang w:val="en-IE"/>
        </w:rPr>
        <w:t>tuberculins</w:t>
      </w:r>
      <w:proofErr w:type="spellEnd"/>
      <w:r w:rsidRPr="00882D2B">
        <w:rPr>
          <w:lang w:val="en-IE"/>
        </w:rPr>
        <w:t xml:space="preserve"> are calculated with their 95% confidence limits, the slopes of the log dose–response curves for each preparation (increase in mean reaction per unit increase in log dose) and the F ratios for deviations from parallelism.</w:t>
      </w:r>
    </w:p>
    <w:p w14:paraId="1131CC3D" w14:textId="47743388" w:rsidR="00B821A2" w:rsidRPr="00882D2B" w:rsidRDefault="00B821A2" w:rsidP="001F0456">
      <w:pPr>
        <w:pStyle w:val="ififthpara"/>
        <w:rPr>
          <w:lang w:val="en-IE"/>
        </w:rPr>
      </w:pPr>
      <w:r w:rsidRPr="00882D2B">
        <w:rPr>
          <w:lang w:val="en-IE"/>
        </w:rPr>
        <w:t>According to the European Pharmacopoeia, the test is not valid unless the confidence limits (</w:t>
      </w:r>
      <w:r w:rsidR="00601BB0" w:rsidRPr="00882D2B">
        <w:rPr>
          <w:i/>
          <w:iCs/>
          <w:lang w:val="en-IE"/>
        </w:rPr>
        <w:t>p</w:t>
      </w:r>
      <w:r w:rsidRPr="00882D2B">
        <w:rPr>
          <w:lang w:val="en-IE"/>
        </w:rPr>
        <w:t xml:space="preserve"> = 0.95) are not less than 50 per cent and not more than 200 per cent of the estimated potency. The estimated potency is not less than 66 per cent and not more than 150 per cent of the stated potency. The stated potency is not less than 20</w:t>
      </w:r>
      <w:r w:rsidR="00601BB0" w:rsidRPr="00882D2B">
        <w:rPr>
          <w:lang w:val="en-IE"/>
        </w:rPr>
        <w:t>,</w:t>
      </w:r>
      <w:r w:rsidRPr="00882D2B">
        <w:rPr>
          <w:lang w:val="en-IE"/>
        </w:rPr>
        <w:t>000</w:t>
      </w:r>
      <w:r w:rsidR="00601BB0" w:rsidRPr="00882D2B">
        <w:rPr>
          <w:lang w:val="en-IE"/>
        </w:rPr>
        <w:t> </w:t>
      </w:r>
      <w:r w:rsidRPr="00882D2B">
        <w:rPr>
          <w:lang w:val="en-IE"/>
        </w:rPr>
        <w:t>IU/ml.</w:t>
      </w:r>
    </w:p>
    <w:p w14:paraId="66235DF9" w14:textId="1469C9E1" w:rsidR="00194B7A" w:rsidRPr="00882D2B" w:rsidRDefault="00B755A8" w:rsidP="001F0456">
      <w:pPr>
        <w:pStyle w:val="ififthlevel"/>
        <w:rPr>
          <w:i/>
          <w:iCs/>
          <w:lang w:val="en-IE"/>
        </w:rPr>
      </w:pPr>
      <w:r w:rsidRPr="00882D2B">
        <w:rPr>
          <w:lang w:val="en-IE"/>
        </w:rPr>
        <w:t>b)</w:t>
      </w:r>
      <w:r w:rsidRPr="00882D2B">
        <w:rPr>
          <w:lang w:val="en-IE"/>
        </w:rPr>
        <w:tab/>
      </w:r>
      <w:r w:rsidR="00D14F19" w:rsidRPr="00882D2B">
        <w:rPr>
          <w:lang w:val="en-IE"/>
        </w:rPr>
        <w:t>Guinea-pigs</w:t>
      </w:r>
      <w:r w:rsidRPr="00882D2B">
        <w:rPr>
          <w:lang w:val="en-IE"/>
        </w:rPr>
        <w:t xml:space="preserve"> sensitised with killed </w:t>
      </w:r>
      <w:r w:rsidR="00EB77B9">
        <w:rPr>
          <w:i/>
          <w:iCs/>
          <w:lang w:val="en-IE"/>
        </w:rPr>
        <w:t>M.</w:t>
      </w:r>
      <w:r w:rsidR="00EB77B9">
        <w:rPr>
          <w:rFonts w:ascii="Calibri" w:hAnsi="Calibri" w:cs="Calibri"/>
          <w:i/>
          <w:iCs/>
          <w:lang w:val="en-IE"/>
        </w:rPr>
        <w:t> </w:t>
      </w:r>
      <w:proofErr w:type="spellStart"/>
      <w:r w:rsidRPr="00882D2B">
        <w:rPr>
          <w:i/>
          <w:iCs/>
          <w:lang w:val="en-IE"/>
        </w:rPr>
        <w:t>bovis</w:t>
      </w:r>
      <w:proofErr w:type="spellEnd"/>
    </w:p>
    <w:p w14:paraId="3E74F908" w14:textId="32BD11CE" w:rsidR="00B821A2" w:rsidRPr="00882D2B" w:rsidRDefault="00B821A2" w:rsidP="001F0456">
      <w:pPr>
        <w:pStyle w:val="ififthpara"/>
        <w:rPr>
          <w:lang w:val="en-IE"/>
        </w:rPr>
      </w:pPr>
      <w:r w:rsidRPr="00882D2B">
        <w:rPr>
          <w:lang w:val="en-IE"/>
        </w:rPr>
        <w:t xml:space="preserve">For laboratories that do not have </w:t>
      </w:r>
      <w:proofErr w:type="spellStart"/>
      <w:r w:rsidRPr="00882D2B">
        <w:rPr>
          <w:lang w:val="en-IE"/>
        </w:rPr>
        <w:t>biosecur</w:t>
      </w:r>
      <w:r w:rsidR="00F11E74" w:rsidRPr="00882D2B">
        <w:rPr>
          <w:lang w:val="en-IE"/>
        </w:rPr>
        <w:t>e</w:t>
      </w:r>
      <w:proofErr w:type="spellEnd"/>
      <w:r w:rsidRPr="00882D2B">
        <w:rPr>
          <w:lang w:val="en-IE"/>
        </w:rPr>
        <w:t xml:space="preserve"> facilities to house </w:t>
      </w:r>
      <w:r w:rsidR="00D14F19" w:rsidRPr="00882D2B">
        <w:rPr>
          <w:lang w:val="en-IE"/>
        </w:rPr>
        <w:t>guinea-pigs</w:t>
      </w:r>
      <w:r w:rsidRPr="00882D2B">
        <w:rPr>
          <w:lang w:val="en-IE"/>
        </w:rPr>
        <w:t xml:space="preserve"> infected with </w:t>
      </w:r>
      <w:r w:rsidR="00EB77B9">
        <w:rPr>
          <w:i/>
          <w:iCs/>
          <w:lang w:val="en-IE"/>
        </w:rPr>
        <w:t>M. </w:t>
      </w:r>
      <w:proofErr w:type="spellStart"/>
      <w:r w:rsidRPr="00882D2B">
        <w:rPr>
          <w:i/>
          <w:iCs/>
          <w:lang w:val="en-IE"/>
        </w:rPr>
        <w:t>bovis</w:t>
      </w:r>
      <w:proofErr w:type="spellEnd"/>
      <w:r w:rsidRPr="00882D2B">
        <w:rPr>
          <w:i/>
          <w:iCs/>
          <w:lang w:val="en-IE"/>
        </w:rPr>
        <w:t xml:space="preserve">, </w:t>
      </w:r>
      <w:r w:rsidRPr="00882D2B">
        <w:rPr>
          <w:lang w:val="en-IE"/>
        </w:rPr>
        <w:t>an alternative</w:t>
      </w:r>
      <w:r w:rsidR="00F900F4" w:rsidRPr="00F900F4">
        <w:rPr>
          <w:lang w:val="en-IE"/>
        </w:rPr>
        <w:t xml:space="preserve"> </w:t>
      </w:r>
      <w:r w:rsidR="00F900F4" w:rsidRPr="00882D2B">
        <w:rPr>
          <w:lang w:val="en-IE"/>
        </w:rPr>
        <w:t>potency assay</w:t>
      </w:r>
      <w:r w:rsidR="00E47A49" w:rsidRPr="00E47A49">
        <w:rPr>
          <w:lang w:val="en-IE"/>
        </w:rPr>
        <w:t xml:space="preserve"> </w:t>
      </w:r>
      <w:r w:rsidR="00E47A49" w:rsidRPr="00882D2B">
        <w:rPr>
          <w:lang w:val="en-IE"/>
        </w:rPr>
        <w:t>is often used</w:t>
      </w:r>
      <w:r w:rsidRPr="00882D2B">
        <w:rPr>
          <w:lang w:val="en-IE"/>
        </w:rPr>
        <w:t xml:space="preserve">, </w:t>
      </w:r>
      <w:r w:rsidR="00B258C2">
        <w:rPr>
          <w:lang w:val="en-IE"/>
        </w:rPr>
        <w:t>using</w:t>
      </w:r>
      <w:r w:rsidRPr="00882D2B">
        <w:rPr>
          <w:lang w:val="en-IE"/>
        </w:rPr>
        <w:t xml:space="preserve"> heat-inactivated </w:t>
      </w:r>
      <w:r w:rsidR="00F82925">
        <w:rPr>
          <w:lang w:val="en-IE"/>
        </w:rPr>
        <w:t xml:space="preserve">antigen to </w:t>
      </w:r>
      <w:r w:rsidRPr="00882D2B">
        <w:rPr>
          <w:lang w:val="en-IE"/>
        </w:rPr>
        <w:t>sensiti</w:t>
      </w:r>
      <w:r w:rsidR="00F11E74" w:rsidRPr="00882D2B">
        <w:rPr>
          <w:lang w:val="en-IE"/>
        </w:rPr>
        <w:t>s</w:t>
      </w:r>
      <w:r w:rsidR="00F82925">
        <w:rPr>
          <w:lang w:val="en-IE"/>
        </w:rPr>
        <w:t>e</w:t>
      </w:r>
      <w:r w:rsidR="00E47A49">
        <w:rPr>
          <w:lang w:val="en-IE"/>
        </w:rPr>
        <w:t xml:space="preserve"> guinea-pigs</w:t>
      </w:r>
      <w:r w:rsidRPr="00882D2B">
        <w:rPr>
          <w:lang w:val="en-IE"/>
        </w:rPr>
        <w:t>.</w:t>
      </w:r>
      <w:r w:rsidR="00140119" w:rsidRPr="00882D2B">
        <w:rPr>
          <w:lang w:val="en-IE"/>
        </w:rPr>
        <w:t xml:space="preserve"> </w:t>
      </w:r>
      <w:r w:rsidR="004874EF">
        <w:rPr>
          <w:lang w:val="en-IE"/>
        </w:rPr>
        <w:t>Because of differences in the</w:t>
      </w:r>
      <w:r w:rsidR="002A6714">
        <w:rPr>
          <w:lang w:val="en-IE"/>
        </w:rPr>
        <w:t xml:space="preserve"> sensitising antigens</w:t>
      </w:r>
      <w:r w:rsidR="00DC1B57">
        <w:rPr>
          <w:lang w:val="en-IE"/>
        </w:rPr>
        <w:t>, results are not direct</w:t>
      </w:r>
      <w:r w:rsidR="007F551F">
        <w:rPr>
          <w:lang w:val="en-IE"/>
        </w:rPr>
        <w:t>ly convertible</w:t>
      </w:r>
      <w:r w:rsidR="007F551F" w:rsidRPr="007F551F">
        <w:rPr>
          <w:lang w:val="en-IE"/>
        </w:rPr>
        <w:t xml:space="preserve"> </w:t>
      </w:r>
      <w:r w:rsidR="007F551F">
        <w:rPr>
          <w:lang w:val="en-IE"/>
        </w:rPr>
        <w:t>between the two models.</w:t>
      </w:r>
      <w:r w:rsidR="00B16094">
        <w:rPr>
          <w:lang w:val="en-IE"/>
        </w:rPr>
        <w:t xml:space="preserve"> It is advised that interlaboratory comp</w:t>
      </w:r>
      <w:r w:rsidR="00A305CD">
        <w:rPr>
          <w:lang w:val="en-IE"/>
        </w:rPr>
        <w:t xml:space="preserve">arisons are conducted </w:t>
      </w:r>
      <w:r w:rsidR="00D1627E">
        <w:rPr>
          <w:lang w:val="en-IE"/>
        </w:rPr>
        <w:t xml:space="preserve">to evaluate the potency of </w:t>
      </w:r>
      <w:proofErr w:type="spellStart"/>
      <w:r w:rsidR="00D1627E">
        <w:rPr>
          <w:lang w:val="en-IE"/>
        </w:rPr>
        <w:t>tuberculins</w:t>
      </w:r>
      <w:proofErr w:type="spellEnd"/>
      <w:r w:rsidR="00D1627E">
        <w:rPr>
          <w:lang w:val="en-IE"/>
        </w:rPr>
        <w:t xml:space="preserve"> assayed by the two methods.</w:t>
      </w:r>
    </w:p>
    <w:p w14:paraId="16F25E58" w14:textId="7035629A" w:rsidR="00B821A2" w:rsidRPr="00882D2B" w:rsidRDefault="00B821A2" w:rsidP="001F0456">
      <w:pPr>
        <w:pStyle w:val="ififthpara"/>
        <w:rPr>
          <w:lang w:val="en-IE"/>
        </w:rPr>
      </w:pPr>
      <w:r w:rsidRPr="00882D2B">
        <w:rPr>
          <w:lang w:val="en-IE"/>
        </w:rPr>
        <w:t xml:space="preserve">As with the live AN5 assay, the </w:t>
      </w:r>
      <w:r w:rsidR="00601BB0" w:rsidRPr="00882D2B">
        <w:rPr>
          <w:lang w:val="en-IE"/>
        </w:rPr>
        <w:t>“</w:t>
      </w:r>
      <w:r w:rsidRPr="00882D2B">
        <w:rPr>
          <w:lang w:val="en-IE"/>
        </w:rPr>
        <w:t>heat-inactivated</w:t>
      </w:r>
      <w:r w:rsidR="00601BB0" w:rsidRPr="00882D2B">
        <w:rPr>
          <w:lang w:val="en-IE"/>
        </w:rPr>
        <w:t>”</w:t>
      </w:r>
      <w:r w:rsidRPr="00882D2B">
        <w:rPr>
          <w:lang w:val="en-IE"/>
        </w:rPr>
        <w:t xml:space="preserve"> tuberculin potency assay </w:t>
      </w:r>
      <w:r w:rsidR="008B31F5">
        <w:rPr>
          <w:lang w:val="en-IE"/>
        </w:rPr>
        <w:t>should</w:t>
      </w:r>
      <w:r w:rsidRPr="00882D2B">
        <w:rPr>
          <w:lang w:val="en-IE"/>
        </w:rPr>
        <w:t xml:space="preserve"> be validated to optimi</w:t>
      </w:r>
      <w:r w:rsidR="009A4BD0" w:rsidRPr="00882D2B">
        <w:rPr>
          <w:lang w:val="en-IE"/>
        </w:rPr>
        <w:t>s</w:t>
      </w:r>
      <w:r w:rsidRPr="00882D2B">
        <w:rPr>
          <w:lang w:val="en-IE"/>
        </w:rPr>
        <w:t>e the combination of sensiti</w:t>
      </w:r>
      <w:r w:rsidR="00D4106C" w:rsidRPr="00882D2B">
        <w:rPr>
          <w:lang w:val="en-IE"/>
        </w:rPr>
        <w:t>s</w:t>
      </w:r>
      <w:r w:rsidRPr="00882D2B">
        <w:rPr>
          <w:lang w:val="en-IE"/>
        </w:rPr>
        <w:t>ing dose and the potency of the PPD-B dilutions assayed in the model.</w:t>
      </w:r>
    </w:p>
    <w:p w14:paraId="6B1A082B" w14:textId="5B46263F" w:rsidR="00B821A2" w:rsidRPr="00882D2B" w:rsidRDefault="00B821A2" w:rsidP="001F0456">
      <w:pPr>
        <w:pStyle w:val="ififthpara"/>
        <w:rPr>
          <w:lang w:val="en-IE"/>
        </w:rPr>
      </w:pPr>
      <w:r w:rsidRPr="00882D2B">
        <w:rPr>
          <w:lang w:val="en-IE"/>
        </w:rPr>
        <w:t xml:space="preserve">The assay is performed as follows: the PPD tuberculin is </w:t>
      </w:r>
      <w:proofErr w:type="spellStart"/>
      <w:r w:rsidRPr="00882D2B">
        <w:rPr>
          <w:lang w:val="en-IE"/>
        </w:rPr>
        <w:t>bioassayed</w:t>
      </w:r>
      <w:proofErr w:type="spellEnd"/>
      <w:r w:rsidRPr="00882D2B">
        <w:rPr>
          <w:lang w:val="en-IE"/>
        </w:rPr>
        <w:t xml:space="preserve"> in </w:t>
      </w:r>
      <w:r w:rsidR="00D14F19" w:rsidRPr="00882D2B">
        <w:rPr>
          <w:lang w:val="en-IE"/>
        </w:rPr>
        <w:t>guinea-pigs</w:t>
      </w:r>
      <w:r w:rsidRPr="00882D2B">
        <w:rPr>
          <w:lang w:val="en-IE"/>
        </w:rPr>
        <w:t xml:space="preserve"> sensitised with heat inactivated </w:t>
      </w:r>
      <w:r w:rsidR="00EB77B9">
        <w:rPr>
          <w:i/>
          <w:iCs/>
          <w:lang w:val="en-IE"/>
        </w:rPr>
        <w:t>M. </w:t>
      </w:r>
      <w:proofErr w:type="spellStart"/>
      <w:r w:rsidRPr="00882D2B">
        <w:rPr>
          <w:i/>
          <w:iCs/>
          <w:lang w:val="en-IE"/>
        </w:rPr>
        <w:t>bovis</w:t>
      </w:r>
      <w:proofErr w:type="spellEnd"/>
      <w:r w:rsidRPr="00882D2B">
        <w:rPr>
          <w:lang w:val="en-IE"/>
        </w:rPr>
        <w:t xml:space="preserve">, </w:t>
      </w:r>
      <w:r w:rsidR="00CF52BE">
        <w:t xml:space="preserve">of the same strain used for PPD production, </w:t>
      </w:r>
      <w:r w:rsidRPr="00882D2B">
        <w:rPr>
          <w:lang w:val="en-IE"/>
        </w:rPr>
        <w:t xml:space="preserve">against the standard for bovine PPD tuberculin by an eight-point assay comprising four dilutions corresponding to about 20, 10, 5 or 2.5 IU. The injection volume is 0.1 ml. In this assay, two test PPD-Bs are compared with </w:t>
      </w:r>
      <w:r w:rsidR="00610B33" w:rsidRPr="00882D2B">
        <w:rPr>
          <w:lang w:val="en-IE"/>
        </w:rPr>
        <w:t>inter</w:t>
      </w:r>
      <w:r w:rsidRPr="00882D2B">
        <w:rPr>
          <w:lang w:val="en-IE"/>
        </w:rPr>
        <w:t>national</w:t>
      </w:r>
      <w:r w:rsidR="0013633E" w:rsidRPr="00882D2B">
        <w:rPr>
          <w:lang w:val="en-IE"/>
        </w:rPr>
        <w:t>/national</w:t>
      </w:r>
      <w:r w:rsidRPr="00882D2B">
        <w:rPr>
          <w:lang w:val="en-IE"/>
        </w:rPr>
        <w:t xml:space="preserve"> </w:t>
      </w:r>
      <w:r w:rsidR="0013633E" w:rsidRPr="00882D2B">
        <w:rPr>
          <w:lang w:val="en-IE"/>
        </w:rPr>
        <w:t>s</w:t>
      </w:r>
      <w:r w:rsidRPr="00882D2B">
        <w:rPr>
          <w:lang w:val="en-IE"/>
        </w:rPr>
        <w:t xml:space="preserve">tandard PPD-B in eight </w:t>
      </w:r>
      <w:r w:rsidR="00D14F19" w:rsidRPr="00882D2B">
        <w:rPr>
          <w:lang w:val="en-IE"/>
        </w:rPr>
        <w:t>guinea-pigs</w:t>
      </w:r>
      <w:r w:rsidRPr="00882D2B">
        <w:rPr>
          <w:lang w:val="en-IE"/>
        </w:rPr>
        <w:t xml:space="preserve">, applying eight intradermal injections per animal and employing a Latin square design. The </w:t>
      </w:r>
      <w:r w:rsidR="00D14F19" w:rsidRPr="00882D2B">
        <w:rPr>
          <w:lang w:val="en-IE"/>
        </w:rPr>
        <w:t>guinea-pigs</w:t>
      </w:r>
      <w:r w:rsidRPr="00882D2B">
        <w:rPr>
          <w:lang w:val="en-IE"/>
        </w:rPr>
        <w:t xml:space="preserve"> are sensitised with inactivated bacilli of </w:t>
      </w:r>
      <w:r w:rsidR="00EB77B9">
        <w:rPr>
          <w:i/>
          <w:iCs/>
          <w:lang w:val="en-IE"/>
        </w:rPr>
        <w:t>M. </w:t>
      </w:r>
      <w:proofErr w:type="spellStart"/>
      <w:r w:rsidRPr="00882D2B">
        <w:rPr>
          <w:i/>
          <w:iCs/>
          <w:lang w:val="en-IE"/>
        </w:rPr>
        <w:t>bovis</w:t>
      </w:r>
      <w:proofErr w:type="spellEnd"/>
      <w:r w:rsidRPr="00882D2B">
        <w:rPr>
          <w:i/>
          <w:iCs/>
          <w:lang w:val="en-IE"/>
        </w:rPr>
        <w:t xml:space="preserve">, </w:t>
      </w:r>
      <w:r w:rsidRPr="00882D2B">
        <w:rPr>
          <w:lang w:val="en-IE"/>
        </w:rPr>
        <w:t xml:space="preserve">5–7 weeks before the assay. </w:t>
      </w:r>
      <w:r w:rsidR="00F64CB6">
        <w:rPr>
          <w:lang w:val="en-IE"/>
        </w:rPr>
        <w:t>The heat inactivated bacilli</w:t>
      </w:r>
      <w:r w:rsidRPr="00882D2B">
        <w:rPr>
          <w:lang w:val="en-IE"/>
        </w:rPr>
        <w:t xml:space="preserve"> are suspended in buffer and made into an emulsion with </w:t>
      </w:r>
      <w:r w:rsidR="00686841" w:rsidRPr="00882D2B">
        <w:rPr>
          <w:lang w:val="en-IE"/>
        </w:rPr>
        <w:t>mineral oil</w:t>
      </w:r>
      <w:r w:rsidRPr="00882D2B">
        <w:rPr>
          <w:lang w:val="en-IE"/>
        </w:rPr>
        <w:t xml:space="preserve"> adjuvant. A deep intramuscular injection is made on the medial side of both thighs, using a dose of 0.5 ml.</w:t>
      </w:r>
    </w:p>
    <w:p w14:paraId="07F29D97" w14:textId="79409258" w:rsidR="0015316B" w:rsidRPr="00882D2B" w:rsidRDefault="00A528B7" w:rsidP="001F0456">
      <w:pPr>
        <w:pStyle w:val="111"/>
        <w:rPr>
          <w:lang w:val="en-IE"/>
        </w:rPr>
      </w:pPr>
      <w:r w:rsidRPr="00882D2B">
        <w:rPr>
          <w:lang w:val="en-IE"/>
        </w:rPr>
        <w:t>2.</w:t>
      </w:r>
      <w:r w:rsidR="0015316B" w:rsidRPr="00882D2B">
        <w:rPr>
          <w:lang w:val="en-IE"/>
        </w:rPr>
        <w:t>4.5.</w:t>
      </w:r>
      <w:r w:rsidR="0015316B" w:rsidRPr="00882D2B">
        <w:rPr>
          <w:lang w:val="en-IE"/>
        </w:rPr>
        <w:tab/>
        <w:t>Specificity</w:t>
      </w:r>
    </w:p>
    <w:p w14:paraId="019464C1" w14:textId="2D3636EC" w:rsidR="0015316B" w:rsidRPr="00882D2B" w:rsidRDefault="0015316B" w:rsidP="001F0456">
      <w:pPr>
        <w:pStyle w:val="111Para"/>
        <w:rPr>
          <w:lang w:val="en-IE"/>
        </w:rPr>
      </w:pPr>
      <w:r w:rsidRPr="00882D2B">
        <w:rPr>
          <w:lang w:val="en-IE"/>
        </w:rPr>
        <w:t xml:space="preserve">A suitable assay for specificity is as follows: three bovine test </w:t>
      </w:r>
      <w:proofErr w:type="spellStart"/>
      <w:r w:rsidRPr="00882D2B">
        <w:rPr>
          <w:lang w:val="en-IE"/>
        </w:rPr>
        <w:t>tuberculins</w:t>
      </w:r>
      <w:proofErr w:type="spellEnd"/>
      <w:r w:rsidRPr="00882D2B">
        <w:rPr>
          <w:lang w:val="en-IE"/>
        </w:rPr>
        <w:t xml:space="preserve"> are assayed against the standard for avian</w:t>
      </w:r>
      <w:r w:rsidR="00016366" w:rsidRPr="00882D2B">
        <w:rPr>
          <w:lang w:val="en-IE"/>
        </w:rPr>
        <w:t xml:space="preserve"> </w:t>
      </w:r>
      <w:r w:rsidRPr="00882D2B">
        <w:rPr>
          <w:lang w:val="en-IE"/>
        </w:rPr>
        <w:t xml:space="preserve">PPD tuberculin (or three avian test </w:t>
      </w:r>
      <w:proofErr w:type="spellStart"/>
      <w:r w:rsidRPr="00882D2B">
        <w:rPr>
          <w:lang w:val="en-IE"/>
        </w:rPr>
        <w:t>tuberculins</w:t>
      </w:r>
      <w:proofErr w:type="spellEnd"/>
      <w:r w:rsidRPr="00882D2B">
        <w:rPr>
          <w:lang w:val="en-IE"/>
        </w:rPr>
        <w:t xml:space="preserve"> against the standard for bovine PPD tuberculin) by a four-point assay in </w:t>
      </w:r>
      <w:proofErr w:type="spellStart"/>
      <w:r w:rsidRPr="00882D2B">
        <w:rPr>
          <w:lang w:val="en-IE"/>
        </w:rPr>
        <w:t>heterologously</w:t>
      </w:r>
      <w:proofErr w:type="spellEnd"/>
      <w:r w:rsidRPr="00882D2B">
        <w:rPr>
          <w:lang w:val="en-IE"/>
        </w:rPr>
        <w:t xml:space="preserve"> sensitised </w:t>
      </w:r>
      <w:r w:rsidR="00D14F19" w:rsidRPr="00882D2B">
        <w:rPr>
          <w:lang w:val="en-IE"/>
        </w:rPr>
        <w:t>guinea-pigs</w:t>
      </w:r>
      <w:r w:rsidRPr="00882D2B">
        <w:rPr>
          <w:lang w:val="en-IE"/>
        </w:rPr>
        <w:t xml:space="preserve">, comprising two dilutions at 25-fold intervals of each tuberculin. Quantities of 0.03 mg and 0.0012 mg of test </w:t>
      </w:r>
      <w:proofErr w:type="spellStart"/>
      <w:r w:rsidRPr="00882D2B">
        <w:rPr>
          <w:lang w:val="en-IE"/>
        </w:rPr>
        <w:t>tuberculoprotein</w:t>
      </w:r>
      <w:proofErr w:type="spellEnd"/>
      <w:r w:rsidRPr="00882D2B">
        <w:rPr>
          <w:lang w:val="en-IE"/>
        </w:rPr>
        <w:t>, corresponding to approximately 975 and 39 IU, are chosen because these doses give good readable skin reactions. The injection doses of the standard are lower, namely 0.001 mg and 0.00004</w:t>
      </w:r>
      <w:r w:rsidR="00AD487B" w:rsidRPr="00882D2B">
        <w:rPr>
          <w:lang w:val="en-IE"/>
        </w:rPr>
        <w:t> </w:t>
      </w:r>
      <w:r w:rsidRPr="00882D2B">
        <w:rPr>
          <w:lang w:val="en-IE"/>
        </w:rPr>
        <w:t xml:space="preserve">mg. In one assay, three test </w:t>
      </w:r>
      <w:proofErr w:type="spellStart"/>
      <w:r w:rsidRPr="00882D2B">
        <w:rPr>
          <w:lang w:val="en-IE"/>
        </w:rPr>
        <w:t>tuberculins</w:t>
      </w:r>
      <w:proofErr w:type="spellEnd"/>
      <w:r w:rsidRPr="00882D2B">
        <w:rPr>
          <w:lang w:val="en-IE"/>
        </w:rPr>
        <w:t xml:space="preserve"> are compared with the standard tuberculin in eight </w:t>
      </w:r>
      <w:r w:rsidR="00D14F19" w:rsidRPr="00882D2B">
        <w:rPr>
          <w:lang w:val="en-IE"/>
        </w:rPr>
        <w:t>guinea-pigs</w:t>
      </w:r>
      <w:r w:rsidRPr="00882D2B">
        <w:rPr>
          <w:lang w:val="en-IE"/>
        </w:rPr>
        <w:t xml:space="preserve"> by applying eight intradermal injections per animal and employing a balanced complete Latin square design. The reading of the results and the statistical evaluation are </w:t>
      </w:r>
      <w:r w:rsidR="00BF6192">
        <w:rPr>
          <w:lang w:val="en-IE"/>
        </w:rPr>
        <w:t xml:space="preserve">the same as </w:t>
      </w:r>
      <w:r w:rsidRPr="00882D2B">
        <w:rPr>
          <w:lang w:val="en-IE"/>
        </w:rPr>
        <w:t>with the potency test</w:t>
      </w:r>
      <w:r w:rsidR="00BF6192" w:rsidRPr="00FA476A">
        <w:t>, but the interpretation should take into account that a satisfactory PPD should have a biological activity that does not surpass 10% of a standard with homologous sensitisation</w:t>
      </w:r>
      <w:r w:rsidRPr="00FA476A">
        <w:t>.</w:t>
      </w:r>
    </w:p>
    <w:p w14:paraId="34E9EAC0" w14:textId="7BC2740F" w:rsidR="0015316B" w:rsidRPr="00882D2B" w:rsidRDefault="0055447D" w:rsidP="001F0456">
      <w:pPr>
        <w:pStyle w:val="111"/>
        <w:rPr>
          <w:lang w:val="en-IE"/>
        </w:rPr>
      </w:pPr>
      <w:r w:rsidRPr="00882D2B">
        <w:rPr>
          <w:lang w:val="en-IE"/>
        </w:rPr>
        <w:t>2.</w:t>
      </w:r>
      <w:r w:rsidR="0015316B" w:rsidRPr="00882D2B">
        <w:rPr>
          <w:lang w:val="en-IE"/>
        </w:rPr>
        <w:t>4.6.</w:t>
      </w:r>
      <w:r w:rsidR="0015316B" w:rsidRPr="00882D2B">
        <w:rPr>
          <w:lang w:val="en-IE"/>
        </w:rPr>
        <w:tab/>
        <w:t>Stability</w:t>
      </w:r>
    </w:p>
    <w:p w14:paraId="0CDF88CB" w14:textId="63D0C813" w:rsidR="0015316B" w:rsidRPr="00FA476A" w:rsidRDefault="0015316B" w:rsidP="00F664AF">
      <w:pPr>
        <w:pStyle w:val="111Para"/>
      </w:pPr>
      <w:r w:rsidRPr="00882D2B">
        <w:rPr>
          <w:lang w:val="en-IE"/>
        </w:rPr>
        <w:t xml:space="preserve">Provided the </w:t>
      </w:r>
      <w:proofErr w:type="spellStart"/>
      <w:r w:rsidRPr="00882D2B">
        <w:rPr>
          <w:lang w:val="en-IE"/>
        </w:rPr>
        <w:t>tuberculins</w:t>
      </w:r>
      <w:proofErr w:type="spellEnd"/>
      <w:r w:rsidRPr="00882D2B">
        <w:rPr>
          <w:lang w:val="en-IE"/>
        </w:rPr>
        <w:t xml:space="preserve"> comply with the legislative standards required for production and are stored at a temperature of between 2°C and 8°C and protected from light, they may be used up to the expiry date as specified in the licence for production of tuberculin. For long-term storage, it is recommended to keep the PPD in a concentrated form rather than the diluted form and the concentrate should also be stored in the dark.</w:t>
      </w:r>
    </w:p>
    <w:p w14:paraId="768F85D5" w14:textId="32C7F9F4" w:rsidR="0015316B" w:rsidRPr="00882D2B" w:rsidRDefault="0055447D" w:rsidP="001F0456">
      <w:pPr>
        <w:pStyle w:val="111"/>
        <w:rPr>
          <w:lang w:val="en-IE"/>
        </w:rPr>
      </w:pPr>
      <w:r w:rsidRPr="00882D2B">
        <w:rPr>
          <w:lang w:val="en-IE"/>
        </w:rPr>
        <w:t>2.</w:t>
      </w:r>
      <w:r w:rsidR="0015316B" w:rsidRPr="00882D2B">
        <w:rPr>
          <w:lang w:val="en-IE"/>
        </w:rPr>
        <w:t>4.7.</w:t>
      </w:r>
      <w:r w:rsidR="0015316B" w:rsidRPr="00882D2B">
        <w:rPr>
          <w:lang w:val="en-IE"/>
        </w:rPr>
        <w:tab/>
        <w:t>pH control</w:t>
      </w:r>
    </w:p>
    <w:p w14:paraId="7B0E39C5" w14:textId="575E00FB" w:rsidR="0015316B" w:rsidRPr="00882D2B" w:rsidRDefault="0015316B" w:rsidP="001F0456">
      <w:pPr>
        <w:pStyle w:val="111Para"/>
        <w:rPr>
          <w:lang w:val="en-IE"/>
        </w:rPr>
      </w:pPr>
      <w:r w:rsidRPr="00882D2B">
        <w:rPr>
          <w:lang w:val="en-IE"/>
        </w:rPr>
        <w:t>The pH should be between pH 6.5 and 7.5.</w:t>
      </w:r>
    </w:p>
    <w:p w14:paraId="6BCB26B0" w14:textId="25453702" w:rsidR="0015316B" w:rsidRPr="00882D2B" w:rsidRDefault="0055447D" w:rsidP="001F0456">
      <w:pPr>
        <w:pStyle w:val="111"/>
        <w:rPr>
          <w:lang w:val="en-IE"/>
        </w:rPr>
      </w:pPr>
      <w:r w:rsidRPr="00882D2B">
        <w:rPr>
          <w:lang w:val="en-IE"/>
        </w:rPr>
        <w:t>2.</w:t>
      </w:r>
      <w:r w:rsidR="0015316B" w:rsidRPr="00882D2B">
        <w:rPr>
          <w:lang w:val="en-IE"/>
        </w:rPr>
        <w:t>4.8.</w:t>
      </w:r>
      <w:r w:rsidR="0015316B" w:rsidRPr="00882D2B">
        <w:rPr>
          <w:lang w:val="en-IE"/>
        </w:rPr>
        <w:tab/>
        <w:t>Protein content</w:t>
      </w:r>
    </w:p>
    <w:p w14:paraId="6B980BF8" w14:textId="680059C2" w:rsidR="0015316B" w:rsidRPr="00882D2B" w:rsidRDefault="0015316B" w:rsidP="001F0456">
      <w:pPr>
        <w:pStyle w:val="111Para"/>
        <w:rPr>
          <w:lang w:val="en-IE"/>
        </w:rPr>
      </w:pPr>
      <w:r w:rsidRPr="00882D2B">
        <w:rPr>
          <w:lang w:val="en-IE"/>
        </w:rPr>
        <w:t>The protein content is determined as indicated in Section C.</w:t>
      </w:r>
      <w:r w:rsidR="008E6B90" w:rsidRPr="00882D2B">
        <w:rPr>
          <w:lang w:val="en-IE"/>
        </w:rPr>
        <w:t>2.</w:t>
      </w:r>
      <w:r w:rsidRPr="00882D2B">
        <w:rPr>
          <w:i/>
          <w:iCs/>
          <w:lang w:val="en-IE"/>
        </w:rPr>
        <w:t>3 In-process control</w:t>
      </w:r>
      <w:r w:rsidRPr="00882D2B">
        <w:rPr>
          <w:lang w:val="en-IE"/>
        </w:rPr>
        <w:t>.</w:t>
      </w:r>
    </w:p>
    <w:p w14:paraId="431027CC" w14:textId="0C59FC8A" w:rsidR="0015316B" w:rsidRPr="00882D2B" w:rsidRDefault="0055447D" w:rsidP="001F0456">
      <w:pPr>
        <w:pStyle w:val="111"/>
        <w:rPr>
          <w:lang w:val="en-IE"/>
        </w:rPr>
      </w:pPr>
      <w:r w:rsidRPr="00882D2B">
        <w:rPr>
          <w:lang w:val="en-IE"/>
        </w:rPr>
        <w:t>2.</w:t>
      </w:r>
      <w:r w:rsidR="0015316B" w:rsidRPr="00882D2B">
        <w:rPr>
          <w:lang w:val="en-IE"/>
        </w:rPr>
        <w:t>4.9.</w:t>
      </w:r>
      <w:r w:rsidR="0015316B" w:rsidRPr="00882D2B">
        <w:rPr>
          <w:lang w:val="en-IE"/>
        </w:rPr>
        <w:tab/>
        <w:t>Storage</w:t>
      </w:r>
    </w:p>
    <w:p w14:paraId="5DD39CF1" w14:textId="77777777" w:rsidR="0015316B" w:rsidRPr="00882D2B" w:rsidRDefault="0015316B" w:rsidP="001F0456">
      <w:pPr>
        <w:pStyle w:val="111Para"/>
        <w:rPr>
          <w:lang w:val="en-IE"/>
        </w:rPr>
      </w:pPr>
      <w:r w:rsidRPr="00882D2B">
        <w:rPr>
          <w:lang w:val="en-IE"/>
        </w:rPr>
        <w:t>During storage, liquid bovine tuberculin should be protected from light and held at a temperature of 5±3°C. Freezing of the liquid product may compromise the quality. However, freeze-dried preparations can be prepared and they may be stored at higher temperatures (but not exceeding 25°C); they should be and protected from light. Periods of exposure to higher temperatures or to direct sunlight should be kept to a minimum.</w:t>
      </w:r>
    </w:p>
    <w:p w14:paraId="1A38AF9B" w14:textId="290B686B" w:rsidR="0015316B" w:rsidRPr="00882D2B" w:rsidRDefault="0055447D" w:rsidP="001F0456">
      <w:pPr>
        <w:pStyle w:val="111"/>
        <w:rPr>
          <w:lang w:val="en-IE"/>
        </w:rPr>
      </w:pPr>
      <w:r w:rsidRPr="00882D2B">
        <w:rPr>
          <w:sz w:val="18"/>
          <w:szCs w:val="18"/>
          <w:lang w:val="en-IE"/>
        </w:rPr>
        <w:t>2.</w:t>
      </w:r>
      <w:r w:rsidR="0015316B" w:rsidRPr="00882D2B">
        <w:rPr>
          <w:sz w:val="18"/>
          <w:szCs w:val="18"/>
          <w:lang w:val="en-IE"/>
        </w:rPr>
        <w:t>4.10.</w:t>
      </w:r>
      <w:r w:rsidR="0015316B" w:rsidRPr="00882D2B">
        <w:rPr>
          <w:sz w:val="18"/>
          <w:szCs w:val="18"/>
          <w:lang w:val="en-IE"/>
        </w:rPr>
        <w:tab/>
      </w:r>
      <w:r w:rsidR="0015316B" w:rsidRPr="00882D2B">
        <w:rPr>
          <w:lang w:val="en-IE"/>
        </w:rPr>
        <w:t>Preservatives</w:t>
      </w:r>
    </w:p>
    <w:p w14:paraId="0BB58FEC" w14:textId="77777777" w:rsidR="0015316B" w:rsidRPr="00882D2B" w:rsidRDefault="0015316B" w:rsidP="001F0456">
      <w:pPr>
        <w:pStyle w:val="111Para"/>
        <w:rPr>
          <w:lang w:val="en-IE"/>
        </w:rPr>
      </w:pPr>
      <w:r w:rsidRPr="00882D2B">
        <w:rPr>
          <w:lang w:val="en-IE"/>
        </w:rPr>
        <w:t>Antimicrobial preservatives or other substances that may be added to a tuberculin must have been shown not to impair the safety and effectiveness of the product.</w:t>
      </w:r>
    </w:p>
    <w:p w14:paraId="4F5F1691" w14:textId="77777777" w:rsidR="0015316B" w:rsidRPr="00882D2B" w:rsidRDefault="0015316B" w:rsidP="001F0456">
      <w:pPr>
        <w:pStyle w:val="111Para"/>
        <w:rPr>
          <w:lang w:val="en-IE"/>
        </w:rPr>
      </w:pPr>
      <w:r w:rsidRPr="00882D2B">
        <w:rPr>
          <w:lang w:val="en-IE"/>
        </w:rPr>
        <w:t>The maximum permitted concentration for phenol is 0.5% (w/v), and for glycerol it is 10% (v/v).</w:t>
      </w:r>
    </w:p>
    <w:p w14:paraId="0DF19D9C" w14:textId="5F27A051" w:rsidR="0015316B" w:rsidRPr="00882D2B" w:rsidRDefault="0055447D" w:rsidP="001F0456">
      <w:pPr>
        <w:pStyle w:val="111"/>
        <w:rPr>
          <w:lang w:val="en-IE"/>
        </w:rPr>
      </w:pPr>
      <w:r w:rsidRPr="00882D2B">
        <w:rPr>
          <w:sz w:val="18"/>
          <w:szCs w:val="18"/>
          <w:lang w:val="en-IE"/>
        </w:rPr>
        <w:t>2.</w:t>
      </w:r>
      <w:r w:rsidR="0015316B" w:rsidRPr="00882D2B">
        <w:rPr>
          <w:sz w:val="18"/>
          <w:szCs w:val="18"/>
          <w:lang w:val="en-IE"/>
        </w:rPr>
        <w:t>4.11.</w:t>
      </w:r>
      <w:r w:rsidR="0015316B" w:rsidRPr="00882D2B">
        <w:rPr>
          <w:sz w:val="18"/>
          <w:szCs w:val="18"/>
          <w:lang w:val="en-IE"/>
        </w:rPr>
        <w:tab/>
      </w:r>
      <w:r w:rsidR="0015316B" w:rsidRPr="00882D2B">
        <w:rPr>
          <w:lang w:val="en-IE"/>
        </w:rPr>
        <w:t>Precautions (hazards)</w:t>
      </w:r>
    </w:p>
    <w:p w14:paraId="0938107D" w14:textId="162C8565" w:rsidR="0015316B" w:rsidRDefault="005C61A4" w:rsidP="001C7FDB">
      <w:pPr>
        <w:pStyle w:val="111Para"/>
        <w:spacing w:after="480"/>
        <w:rPr>
          <w:lang w:val="en-IE"/>
        </w:rPr>
      </w:pPr>
      <w:r>
        <w:rPr>
          <w:lang w:val="en-IE"/>
        </w:rPr>
        <w:t>A</w:t>
      </w:r>
      <w:r w:rsidR="0015316B" w:rsidRPr="00882D2B">
        <w:rPr>
          <w:lang w:val="en-IE"/>
        </w:rPr>
        <w:t>ppropriately diluted tuberculin injected intradermally</w:t>
      </w:r>
      <w:r>
        <w:rPr>
          <w:lang w:val="en-IE"/>
        </w:rPr>
        <w:t xml:space="preserve"> in humans or animals</w:t>
      </w:r>
      <w:r w:rsidR="0015316B" w:rsidRPr="00882D2B">
        <w:rPr>
          <w:lang w:val="en-IE"/>
        </w:rPr>
        <w:t xml:space="preserve">, </w:t>
      </w:r>
      <w:r>
        <w:rPr>
          <w:lang w:val="en-IE"/>
        </w:rPr>
        <w:t xml:space="preserve">can </w:t>
      </w:r>
      <w:r w:rsidR="0015316B" w:rsidRPr="00882D2B">
        <w:rPr>
          <w:lang w:val="en-IE"/>
        </w:rPr>
        <w:t>result in a localised reaction at the injection site. Even in very sensitive individuals, severe, generalised reactions are extremely rare and limited.</w:t>
      </w:r>
      <w:r>
        <w:rPr>
          <w:lang w:val="en-IE"/>
        </w:rPr>
        <w:t xml:space="preserve"> Operators with known sensitivity to tuberculin should carry out a risk assessment before handling the material</w:t>
      </w:r>
      <w:r w:rsidR="0015316B" w:rsidRPr="00882D2B">
        <w:rPr>
          <w:lang w:val="en-IE"/>
        </w:rPr>
        <w:t>.</w:t>
      </w:r>
    </w:p>
    <w:p w14:paraId="560DA698" w14:textId="0049CC4A" w:rsidR="0015316B" w:rsidRPr="00F668BA" w:rsidRDefault="0015316B" w:rsidP="006A4712">
      <w:pPr>
        <w:pStyle w:val="Referencetitle"/>
        <w:rPr>
          <w:lang w:val="en-IE"/>
        </w:rPr>
      </w:pPr>
      <w:r w:rsidRPr="00F668BA">
        <w:rPr>
          <w:lang w:val="en-IE"/>
        </w:rPr>
        <w:t>REFERENCES</w:t>
      </w:r>
    </w:p>
    <w:p w14:paraId="5A2EE8AE" w14:textId="77777777" w:rsidR="001F0456" w:rsidRPr="00E96642" w:rsidRDefault="001F0456" w:rsidP="001F0456">
      <w:pPr>
        <w:pStyle w:val="Ref"/>
        <w:ind w:left="0" w:firstLine="0"/>
      </w:pPr>
      <w:bookmarkStart w:id="11" w:name="_Hlk74042523"/>
      <w:r w:rsidRPr="00E96642">
        <w:rPr>
          <w:smallCaps/>
        </w:rPr>
        <w:t>Buddle B.M., Ryan T.J., Pollock J.M., Anderson P. &amp; De Lisle G.W.</w:t>
      </w:r>
      <w:r w:rsidRPr="00E96642">
        <w:t xml:space="preserve"> (2001). Use of ESAT-6 in the interferon-gamma test for diagnosis of bovine tuberculosis following skin testing. </w:t>
      </w:r>
      <w:r w:rsidRPr="00E96642">
        <w:rPr>
          <w:i/>
          <w:iCs/>
        </w:rPr>
        <w:t xml:space="preserve">Vet. </w:t>
      </w:r>
      <w:proofErr w:type="spellStart"/>
      <w:r w:rsidRPr="00E96642">
        <w:rPr>
          <w:i/>
          <w:iCs/>
        </w:rPr>
        <w:t>Microbiol</w:t>
      </w:r>
      <w:proofErr w:type="spellEnd"/>
      <w:r w:rsidRPr="00E96642">
        <w:t xml:space="preserve">., </w:t>
      </w:r>
      <w:r w:rsidRPr="00E96642">
        <w:rPr>
          <w:b/>
          <w:bCs/>
        </w:rPr>
        <w:t>80</w:t>
      </w:r>
      <w:r w:rsidRPr="00E96642">
        <w:t>, 37–46.</w:t>
      </w:r>
    </w:p>
    <w:p w14:paraId="54A13CFE" w14:textId="77777777" w:rsidR="001F0456" w:rsidRPr="00AC49E1" w:rsidRDefault="001F0456" w:rsidP="001F0456">
      <w:pPr>
        <w:pStyle w:val="Ref"/>
        <w:ind w:left="0" w:firstLine="0"/>
        <w:rPr>
          <w:i/>
          <w:lang w:val="en-IE"/>
        </w:rPr>
      </w:pPr>
      <w:r w:rsidRPr="00E96642">
        <w:rPr>
          <w:smallCaps/>
        </w:rPr>
        <w:t xml:space="preserve">Buddle B.M., Shu D., </w:t>
      </w:r>
      <w:proofErr w:type="spellStart"/>
      <w:r w:rsidRPr="00E96642">
        <w:rPr>
          <w:smallCaps/>
        </w:rPr>
        <w:t>Parlane</w:t>
      </w:r>
      <w:proofErr w:type="spellEnd"/>
      <w:r w:rsidRPr="00E96642">
        <w:rPr>
          <w:smallCaps/>
        </w:rPr>
        <w:t xml:space="preserve"> N.A., </w:t>
      </w:r>
      <w:proofErr w:type="spellStart"/>
      <w:r w:rsidRPr="00E96642">
        <w:rPr>
          <w:smallCaps/>
        </w:rPr>
        <w:t>Subharat</w:t>
      </w:r>
      <w:proofErr w:type="spellEnd"/>
      <w:r w:rsidRPr="00E96642">
        <w:rPr>
          <w:smallCaps/>
        </w:rPr>
        <w:t xml:space="preserve"> S., Heiser A., </w:t>
      </w:r>
      <w:proofErr w:type="spellStart"/>
      <w:r w:rsidRPr="00E96642">
        <w:rPr>
          <w:smallCaps/>
        </w:rPr>
        <w:t>Hewinson</w:t>
      </w:r>
      <w:proofErr w:type="spellEnd"/>
      <w:r w:rsidRPr="00E96642">
        <w:rPr>
          <w:smallCaps/>
        </w:rPr>
        <w:t xml:space="preserve"> R.G., </w:t>
      </w:r>
      <w:proofErr w:type="spellStart"/>
      <w:r w:rsidRPr="00E96642">
        <w:rPr>
          <w:smallCaps/>
        </w:rPr>
        <w:t>Vordermeier</w:t>
      </w:r>
      <w:proofErr w:type="spellEnd"/>
      <w:r w:rsidRPr="00E96642">
        <w:rPr>
          <w:smallCaps/>
        </w:rPr>
        <w:t xml:space="preserve"> H.M. &amp; Wedlock D.N.</w:t>
      </w:r>
      <w:r w:rsidRPr="00E96642">
        <w:t xml:space="preserve"> (2016). Vaccination of cattle with a high dose of BCG vaccine 3 weeks </w:t>
      </w:r>
      <w:proofErr w:type="spellStart"/>
      <w:r w:rsidRPr="00E96642">
        <w:t>afte</w:t>
      </w:r>
      <w:proofErr w:type="spellEnd"/>
      <w:r w:rsidRPr="00882D2B">
        <w:rPr>
          <w:lang w:val="en-IE"/>
        </w:rPr>
        <w:t xml:space="preserve">r experimental infection with </w:t>
      </w:r>
      <w:r w:rsidRPr="00882D2B">
        <w:rPr>
          <w:i/>
          <w:iCs/>
          <w:lang w:val="en-IE"/>
        </w:rPr>
        <w:t xml:space="preserve">Mycobacterium </w:t>
      </w:r>
      <w:proofErr w:type="spellStart"/>
      <w:r w:rsidRPr="00882D2B">
        <w:rPr>
          <w:i/>
          <w:iCs/>
          <w:lang w:val="en-IE"/>
        </w:rPr>
        <w:t>bovis</w:t>
      </w:r>
      <w:proofErr w:type="spellEnd"/>
      <w:r w:rsidRPr="00882D2B">
        <w:rPr>
          <w:lang w:val="en-IE"/>
        </w:rPr>
        <w:t xml:space="preserve"> increased the inflammatory response, but not tuberculous pathology. </w:t>
      </w:r>
      <w:r w:rsidRPr="00AC49E1">
        <w:rPr>
          <w:i/>
          <w:iCs/>
          <w:lang w:val="en-IE"/>
        </w:rPr>
        <w:t>Tuberculosis</w:t>
      </w:r>
      <w:r w:rsidRPr="00AC49E1">
        <w:rPr>
          <w:lang w:val="en-IE"/>
        </w:rPr>
        <w:t xml:space="preserve">, </w:t>
      </w:r>
      <w:r w:rsidRPr="00AC49E1">
        <w:rPr>
          <w:b/>
          <w:bCs/>
          <w:lang w:val="en-IE"/>
        </w:rPr>
        <w:t>99</w:t>
      </w:r>
      <w:r w:rsidRPr="00AC49E1">
        <w:rPr>
          <w:lang w:val="en-IE"/>
        </w:rPr>
        <w:t>, 120–</w:t>
      </w:r>
      <w:r w:rsidRPr="00AC49E1">
        <w:rPr>
          <w:iCs/>
          <w:lang w:val="en-IE"/>
        </w:rPr>
        <w:t>127</w:t>
      </w:r>
      <w:r w:rsidRPr="00AC49E1">
        <w:rPr>
          <w:i/>
          <w:lang w:val="en-IE"/>
        </w:rPr>
        <w:t>.</w:t>
      </w:r>
    </w:p>
    <w:p w14:paraId="711A1A39" w14:textId="77777777" w:rsidR="00B112EF" w:rsidRPr="00B112EF" w:rsidRDefault="00B112EF" w:rsidP="00B112EF">
      <w:pPr>
        <w:pStyle w:val="CommentText"/>
        <w:spacing w:after="240" w:line="0" w:lineRule="atLeast"/>
        <w:rPr>
          <w:rFonts w:ascii="Arial" w:hAnsi="Arial" w:cs="Arial"/>
          <w:sz w:val="18"/>
          <w:szCs w:val="18"/>
          <w:lang w:val="en-IE"/>
        </w:rPr>
      </w:pPr>
      <w:r w:rsidRPr="00AC49E1">
        <w:rPr>
          <w:rStyle w:val="self-citation-authors"/>
          <w:rFonts w:ascii="Arial" w:hAnsi="Arial" w:cs="Arial"/>
          <w:smallCaps/>
          <w:color w:val="333333"/>
          <w:sz w:val="18"/>
          <w:szCs w:val="18"/>
          <w:lang w:val="en-IE"/>
        </w:rPr>
        <w:t xml:space="preserve">Cardoso-Toset F., Luque I., Carrasco L., Jurado-Martos F., </w:t>
      </w:r>
      <w:proofErr w:type="spellStart"/>
      <w:r w:rsidRPr="00AC49E1">
        <w:rPr>
          <w:rStyle w:val="self-citation-authors"/>
          <w:rFonts w:ascii="Arial" w:hAnsi="Arial" w:cs="Arial"/>
          <w:smallCaps/>
          <w:color w:val="333333"/>
          <w:sz w:val="18"/>
          <w:szCs w:val="18"/>
          <w:lang w:val="en-IE"/>
        </w:rPr>
        <w:t>Risalde</w:t>
      </w:r>
      <w:proofErr w:type="spellEnd"/>
      <w:r w:rsidRPr="00AC49E1">
        <w:rPr>
          <w:rStyle w:val="self-citation-authors"/>
          <w:rFonts w:ascii="Arial" w:hAnsi="Arial" w:cs="Arial"/>
          <w:smallCaps/>
          <w:color w:val="333333"/>
          <w:sz w:val="18"/>
          <w:szCs w:val="18"/>
          <w:lang w:val="en-IE"/>
        </w:rPr>
        <w:t xml:space="preserve"> M.A., </w:t>
      </w:r>
      <w:proofErr w:type="spellStart"/>
      <w:r w:rsidRPr="00AC49E1">
        <w:rPr>
          <w:rStyle w:val="self-citation-authors"/>
          <w:rFonts w:ascii="Arial" w:hAnsi="Arial" w:cs="Arial"/>
          <w:smallCaps/>
          <w:color w:val="333333"/>
          <w:sz w:val="18"/>
          <w:szCs w:val="18"/>
          <w:lang w:val="en-IE"/>
        </w:rPr>
        <w:t>Venteo</w:t>
      </w:r>
      <w:proofErr w:type="spellEnd"/>
      <w:r w:rsidRPr="00AC49E1">
        <w:rPr>
          <w:rStyle w:val="self-citation-authors"/>
          <w:rFonts w:ascii="Arial" w:hAnsi="Arial" w:cs="Arial"/>
          <w:smallCaps/>
          <w:color w:val="333333"/>
          <w:sz w:val="18"/>
          <w:szCs w:val="18"/>
          <w:lang w:val="en-IE"/>
        </w:rPr>
        <w:t xml:space="preserve"> A., Infantes-Lorenzo J.A., Bezos J., Rueda P., Tapia I., </w:t>
      </w:r>
      <w:proofErr w:type="spellStart"/>
      <w:r w:rsidRPr="00AC49E1">
        <w:rPr>
          <w:rStyle w:val="self-citation-authors"/>
          <w:rFonts w:ascii="Arial" w:hAnsi="Arial" w:cs="Arial"/>
          <w:smallCaps/>
          <w:color w:val="333333"/>
          <w:sz w:val="18"/>
          <w:szCs w:val="18"/>
          <w:lang w:val="en-IE"/>
        </w:rPr>
        <w:t>Gortázar</w:t>
      </w:r>
      <w:proofErr w:type="spellEnd"/>
      <w:r w:rsidRPr="00AC49E1">
        <w:rPr>
          <w:rStyle w:val="self-citation-authors"/>
          <w:rFonts w:ascii="Arial" w:hAnsi="Arial" w:cs="Arial"/>
          <w:smallCaps/>
          <w:color w:val="333333"/>
          <w:sz w:val="18"/>
          <w:szCs w:val="18"/>
          <w:lang w:val="en-IE"/>
        </w:rPr>
        <w:t xml:space="preserve"> C., Domínguez L., Domínguez M. &amp; Gomez-Laguna J. </w:t>
      </w:r>
      <w:r w:rsidRPr="00AC49E1">
        <w:rPr>
          <w:rFonts w:ascii="Arial" w:hAnsi="Arial" w:cs="Arial"/>
          <w:sz w:val="18"/>
          <w:szCs w:val="18"/>
          <w:lang w:val="en-IE"/>
        </w:rPr>
        <w:t xml:space="preserve">(2017). </w:t>
      </w:r>
      <w:r w:rsidRPr="00B112EF">
        <w:rPr>
          <w:rFonts w:ascii="Arial" w:hAnsi="Arial" w:cs="Arial"/>
          <w:sz w:val="18"/>
          <w:szCs w:val="18"/>
          <w:lang w:val="en-IE"/>
        </w:rPr>
        <w:t>Evaluation of five serologic assays for bovine tuberculosis surveillance in domestic free-range pigs from southern Spain</w:t>
      </w:r>
      <w:r>
        <w:rPr>
          <w:rFonts w:ascii="Arial" w:hAnsi="Arial" w:cs="Arial"/>
          <w:sz w:val="18"/>
          <w:szCs w:val="18"/>
          <w:lang w:val="en-IE"/>
        </w:rPr>
        <w:t>.</w:t>
      </w:r>
      <w:r w:rsidRPr="00B112EF">
        <w:rPr>
          <w:rFonts w:ascii="Arial" w:hAnsi="Arial" w:cs="Arial"/>
          <w:sz w:val="18"/>
          <w:szCs w:val="18"/>
          <w:lang w:val="en-IE"/>
        </w:rPr>
        <w:t xml:space="preserve"> </w:t>
      </w:r>
      <w:r w:rsidRPr="00B112EF">
        <w:rPr>
          <w:rFonts w:ascii="Arial" w:hAnsi="Arial" w:cs="Arial"/>
          <w:i/>
          <w:iCs/>
          <w:sz w:val="18"/>
          <w:szCs w:val="18"/>
          <w:lang w:val="en-IE"/>
        </w:rPr>
        <w:t>Prev. Vet. Med</w:t>
      </w:r>
      <w:r w:rsidRPr="00B112EF">
        <w:rPr>
          <w:rFonts w:ascii="Arial" w:hAnsi="Arial" w:cs="Arial"/>
          <w:sz w:val="18"/>
          <w:szCs w:val="18"/>
          <w:lang w:val="en-IE"/>
        </w:rPr>
        <w:t>.</w:t>
      </w:r>
      <w:r>
        <w:rPr>
          <w:rFonts w:ascii="Arial" w:hAnsi="Arial" w:cs="Arial"/>
          <w:sz w:val="18"/>
          <w:szCs w:val="18"/>
          <w:lang w:val="en-IE"/>
        </w:rPr>
        <w:t xml:space="preserve">, </w:t>
      </w:r>
      <w:r w:rsidRPr="00B112EF">
        <w:rPr>
          <w:rFonts w:ascii="Arial" w:hAnsi="Arial" w:cs="Arial"/>
          <w:b/>
          <w:bCs/>
          <w:sz w:val="18"/>
          <w:szCs w:val="18"/>
          <w:lang w:val="en-IE"/>
        </w:rPr>
        <w:t>137</w:t>
      </w:r>
      <w:r>
        <w:rPr>
          <w:rFonts w:ascii="Arial" w:hAnsi="Arial" w:cs="Arial"/>
          <w:sz w:val="18"/>
          <w:szCs w:val="18"/>
          <w:lang w:val="en-IE"/>
        </w:rPr>
        <w:t xml:space="preserve"> </w:t>
      </w:r>
      <w:r w:rsidRPr="00B112EF">
        <w:rPr>
          <w:rFonts w:ascii="Arial" w:hAnsi="Arial" w:cs="Arial"/>
          <w:sz w:val="18"/>
          <w:szCs w:val="18"/>
          <w:lang w:val="en-IE"/>
        </w:rPr>
        <w:t>(Pt A)</w:t>
      </w:r>
      <w:r>
        <w:rPr>
          <w:rFonts w:ascii="Arial" w:hAnsi="Arial" w:cs="Arial"/>
          <w:sz w:val="18"/>
          <w:szCs w:val="18"/>
          <w:lang w:val="en-IE"/>
        </w:rPr>
        <w:t xml:space="preserve">, </w:t>
      </w:r>
      <w:r w:rsidRPr="00B112EF">
        <w:rPr>
          <w:rFonts w:ascii="Arial" w:hAnsi="Arial" w:cs="Arial"/>
          <w:sz w:val="18"/>
          <w:szCs w:val="18"/>
          <w:lang w:val="en-IE"/>
        </w:rPr>
        <w:t>101</w:t>
      </w:r>
      <w:r>
        <w:rPr>
          <w:rFonts w:ascii="Arial" w:hAnsi="Arial" w:cs="Arial"/>
          <w:sz w:val="18"/>
          <w:szCs w:val="18"/>
          <w:lang w:val="en-IE"/>
        </w:rPr>
        <w:t>–</w:t>
      </w:r>
      <w:r w:rsidRPr="00B112EF">
        <w:rPr>
          <w:rFonts w:ascii="Arial" w:hAnsi="Arial" w:cs="Arial"/>
          <w:sz w:val="18"/>
          <w:szCs w:val="18"/>
          <w:lang w:val="en-IE"/>
        </w:rPr>
        <w:t xml:space="preserve">104. </w:t>
      </w:r>
    </w:p>
    <w:p w14:paraId="48ADB7B0" w14:textId="2235E467" w:rsidR="001F0456" w:rsidRPr="00AC49E1" w:rsidRDefault="001F0456" w:rsidP="001F0456">
      <w:pPr>
        <w:pStyle w:val="Ref"/>
        <w:ind w:left="0" w:firstLine="0"/>
        <w:rPr>
          <w:i/>
          <w:iCs/>
          <w:lang w:val="en-IE"/>
        </w:rPr>
      </w:pPr>
      <w:r w:rsidRPr="00882D2B">
        <w:rPr>
          <w:smallCaps/>
          <w:lang w:val="en-IE"/>
        </w:rPr>
        <w:t>Carter S</w:t>
      </w:r>
      <w:r w:rsidR="009110D4" w:rsidRPr="00882D2B">
        <w:rPr>
          <w:smallCaps/>
          <w:lang w:val="en-IE"/>
        </w:rPr>
        <w:t>.</w:t>
      </w:r>
      <w:r w:rsidRPr="00882D2B">
        <w:rPr>
          <w:smallCaps/>
          <w:lang w:val="en-IE"/>
        </w:rPr>
        <w:t>P</w:t>
      </w:r>
      <w:r w:rsidR="009110D4" w:rsidRPr="00882D2B">
        <w:rPr>
          <w:smallCaps/>
          <w:lang w:val="en-IE"/>
        </w:rPr>
        <w:t>.</w:t>
      </w:r>
      <w:r w:rsidRPr="00882D2B">
        <w:rPr>
          <w:smallCaps/>
          <w:lang w:val="en-IE"/>
        </w:rPr>
        <w:t>, Chambers M</w:t>
      </w:r>
      <w:r w:rsidR="009110D4" w:rsidRPr="00882D2B">
        <w:rPr>
          <w:smallCaps/>
          <w:lang w:val="en-IE"/>
        </w:rPr>
        <w:t>.</w:t>
      </w:r>
      <w:r w:rsidRPr="00882D2B">
        <w:rPr>
          <w:smallCaps/>
          <w:lang w:val="en-IE"/>
        </w:rPr>
        <w:t>A</w:t>
      </w:r>
      <w:r w:rsidR="009110D4" w:rsidRPr="00882D2B">
        <w:rPr>
          <w:smallCaps/>
          <w:lang w:val="en-IE"/>
        </w:rPr>
        <w:t>.</w:t>
      </w:r>
      <w:r w:rsidRPr="00882D2B">
        <w:rPr>
          <w:smallCaps/>
          <w:lang w:val="en-IE"/>
        </w:rPr>
        <w:t>, Rushton S</w:t>
      </w:r>
      <w:r w:rsidR="009110D4" w:rsidRPr="00882D2B">
        <w:rPr>
          <w:smallCaps/>
          <w:lang w:val="en-IE"/>
        </w:rPr>
        <w:t>.</w:t>
      </w:r>
      <w:r w:rsidRPr="00882D2B">
        <w:rPr>
          <w:smallCaps/>
          <w:lang w:val="en-IE"/>
        </w:rPr>
        <w:t>P</w:t>
      </w:r>
      <w:r w:rsidR="009110D4" w:rsidRPr="00882D2B">
        <w:rPr>
          <w:smallCaps/>
          <w:lang w:val="en-IE"/>
        </w:rPr>
        <w:t>.</w:t>
      </w:r>
      <w:r w:rsidRPr="00882D2B">
        <w:rPr>
          <w:smallCaps/>
          <w:lang w:val="en-IE"/>
        </w:rPr>
        <w:t>, Shirley M</w:t>
      </w:r>
      <w:r w:rsidR="009110D4" w:rsidRPr="00882D2B">
        <w:rPr>
          <w:smallCaps/>
          <w:lang w:val="en-IE"/>
        </w:rPr>
        <w:t>.</w:t>
      </w:r>
      <w:r w:rsidRPr="00882D2B">
        <w:rPr>
          <w:smallCaps/>
          <w:lang w:val="en-IE"/>
        </w:rPr>
        <w:t>D</w:t>
      </w:r>
      <w:r w:rsidR="009110D4" w:rsidRPr="00882D2B">
        <w:rPr>
          <w:smallCaps/>
          <w:lang w:val="en-IE"/>
        </w:rPr>
        <w:t>.</w:t>
      </w:r>
      <w:r w:rsidRPr="00882D2B">
        <w:rPr>
          <w:smallCaps/>
          <w:lang w:val="en-IE"/>
        </w:rPr>
        <w:t>, Schuchert P</w:t>
      </w:r>
      <w:r w:rsidR="009110D4" w:rsidRPr="00882D2B">
        <w:rPr>
          <w:smallCaps/>
          <w:lang w:val="en-IE"/>
        </w:rPr>
        <w:t>.</w:t>
      </w:r>
      <w:r w:rsidRPr="00882D2B">
        <w:rPr>
          <w:smallCaps/>
          <w:lang w:val="en-IE"/>
        </w:rPr>
        <w:t xml:space="preserve">, </w:t>
      </w:r>
      <w:proofErr w:type="spellStart"/>
      <w:r w:rsidRPr="00882D2B">
        <w:rPr>
          <w:smallCaps/>
          <w:lang w:val="en-IE"/>
        </w:rPr>
        <w:t>Pietravalle</w:t>
      </w:r>
      <w:proofErr w:type="spellEnd"/>
      <w:r w:rsidRPr="00882D2B">
        <w:rPr>
          <w:smallCaps/>
          <w:lang w:val="en-IE"/>
        </w:rPr>
        <w:t xml:space="preserve"> S</w:t>
      </w:r>
      <w:r w:rsidR="009110D4" w:rsidRPr="00882D2B">
        <w:rPr>
          <w:smallCaps/>
          <w:lang w:val="en-IE"/>
        </w:rPr>
        <w:t>.</w:t>
      </w:r>
      <w:r w:rsidRPr="00882D2B">
        <w:rPr>
          <w:smallCaps/>
          <w:lang w:val="en-IE"/>
        </w:rPr>
        <w:t>, Murray A</w:t>
      </w:r>
      <w:r w:rsidR="009110D4" w:rsidRPr="00882D2B">
        <w:rPr>
          <w:smallCaps/>
          <w:lang w:val="en-IE"/>
        </w:rPr>
        <w:t>.</w:t>
      </w:r>
      <w:r w:rsidRPr="00882D2B">
        <w:rPr>
          <w:smallCaps/>
          <w:lang w:val="en-IE"/>
        </w:rPr>
        <w:t>, Rogers F</w:t>
      </w:r>
      <w:r w:rsidR="009110D4" w:rsidRPr="00882D2B">
        <w:rPr>
          <w:smallCaps/>
          <w:lang w:val="en-IE"/>
        </w:rPr>
        <w:t>.</w:t>
      </w:r>
      <w:r w:rsidRPr="00882D2B">
        <w:rPr>
          <w:smallCaps/>
          <w:lang w:val="en-IE"/>
        </w:rPr>
        <w:t xml:space="preserve">, </w:t>
      </w:r>
      <w:proofErr w:type="spellStart"/>
      <w:r w:rsidRPr="00882D2B">
        <w:rPr>
          <w:smallCaps/>
          <w:lang w:val="en-IE"/>
        </w:rPr>
        <w:t>Gettinby</w:t>
      </w:r>
      <w:proofErr w:type="spellEnd"/>
      <w:r w:rsidRPr="00882D2B">
        <w:rPr>
          <w:smallCaps/>
          <w:lang w:val="en-IE"/>
        </w:rPr>
        <w:t xml:space="preserve"> G</w:t>
      </w:r>
      <w:r w:rsidR="009110D4" w:rsidRPr="00882D2B">
        <w:rPr>
          <w:smallCaps/>
          <w:lang w:val="en-IE"/>
        </w:rPr>
        <w:t>.</w:t>
      </w:r>
      <w:r w:rsidRPr="00882D2B">
        <w:rPr>
          <w:smallCaps/>
          <w:lang w:val="en-IE"/>
        </w:rPr>
        <w:t>, Smith G</w:t>
      </w:r>
      <w:r w:rsidR="009110D4" w:rsidRPr="00882D2B">
        <w:rPr>
          <w:smallCaps/>
          <w:lang w:val="en-IE"/>
        </w:rPr>
        <w:t>.</w:t>
      </w:r>
      <w:r w:rsidRPr="00882D2B">
        <w:rPr>
          <w:smallCaps/>
          <w:lang w:val="en-IE"/>
        </w:rPr>
        <w:t>C</w:t>
      </w:r>
      <w:r w:rsidR="009110D4" w:rsidRPr="00882D2B">
        <w:rPr>
          <w:smallCaps/>
          <w:lang w:val="en-IE"/>
        </w:rPr>
        <w:t>.</w:t>
      </w:r>
      <w:r w:rsidRPr="00882D2B">
        <w:rPr>
          <w:smallCaps/>
          <w:lang w:val="en-IE"/>
        </w:rPr>
        <w:t xml:space="preserve">, </w:t>
      </w:r>
      <w:proofErr w:type="spellStart"/>
      <w:r w:rsidRPr="00882D2B">
        <w:rPr>
          <w:smallCaps/>
          <w:lang w:val="en-IE"/>
        </w:rPr>
        <w:t>Delahay</w:t>
      </w:r>
      <w:proofErr w:type="spellEnd"/>
      <w:r w:rsidRPr="00882D2B">
        <w:rPr>
          <w:smallCaps/>
          <w:lang w:val="en-IE"/>
        </w:rPr>
        <w:t xml:space="preserve"> R</w:t>
      </w:r>
      <w:r w:rsidR="009110D4" w:rsidRPr="00882D2B">
        <w:rPr>
          <w:smallCaps/>
          <w:lang w:val="en-IE"/>
        </w:rPr>
        <w:t>.</w:t>
      </w:r>
      <w:r w:rsidRPr="00882D2B">
        <w:rPr>
          <w:smallCaps/>
          <w:lang w:val="en-IE"/>
        </w:rPr>
        <w:t>J</w:t>
      </w:r>
      <w:r w:rsidR="009110D4" w:rsidRPr="00882D2B">
        <w:rPr>
          <w:smallCaps/>
          <w:lang w:val="en-IE"/>
        </w:rPr>
        <w:t>.</w:t>
      </w:r>
      <w:r w:rsidRPr="00882D2B">
        <w:rPr>
          <w:smallCaps/>
          <w:lang w:val="en-IE"/>
        </w:rPr>
        <w:t xml:space="preserve">, </w:t>
      </w:r>
      <w:proofErr w:type="spellStart"/>
      <w:r w:rsidRPr="00882D2B">
        <w:rPr>
          <w:smallCaps/>
          <w:lang w:val="en-IE"/>
        </w:rPr>
        <w:t>Hewinson</w:t>
      </w:r>
      <w:proofErr w:type="spellEnd"/>
      <w:r w:rsidRPr="00882D2B">
        <w:rPr>
          <w:smallCaps/>
          <w:lang w:val="en-IE"/>
        </w:rPr>
        <w:t xml:space="preserve"> R</w:t>
      </w:r>
      <w:r w:rsidR="009110D4" w:rsidRPr="00882D2B">
        <w:rPr>
          <w:smallCaps/>
          <w:lang w:val="en-IE"/>
        </w:rPr>
        <w:t>.</w:t>
      </w:r>
      <w:r w:rsidRPr="00882D2B">
        <w:rPr>
          <w:smallCaps/>
          <w:lang w:val="en-IE"/>
        </w:rPr>
        <w:t>G</w:t>
      </w:r>
      <w:r w:rsidR="009110D4" w:rsidRPr="00882D2B">
        <w:rPr>
          <w:smallCaps/>
          <w:lang w:val="en-IE"/>
        </w:rPr>
        <w:t>. &amp;</w:t>
      </w:r>
      <w:r w:rsidRPr="00882D2B">
        <w:rPr>
          <w:smallCaps/>
          <w:lang w:val="en-IE"/>
        </w:rPr>
        <w:t xml:space="preserve"> McDonald R</w:t>
      </w:r>
      <w:r w:rsidR="009110D4" w:rsidRPr="00882D2B">
        <w:rPr>
          <w:smallCaps/>
          <w:lang w:val="en-IE"/>
        </w:rPr>
        <w:t>.</w:t>
      </w:r>
      <w:r w:rsidRPr="00882D2B">
        <w:rPr>
          <w:smallCaps/>
          <w:lang w:val="en-IE"/>
        </w:rPr>
        <w:t>A. (2012)</w:t>
      </w:r>
      <w:r w:rsidR="009110D4" w:rsidRPr="00882D2B">
        <w:rPr>
          <w:smallCaps/>
          <w:lang w:val="en-IE"/>
        </w:rPr>
        <w:t>.</w:t>
      </w:r>
      <w:r w:rsidRPr="00882D2B">
        <w:rPr>
          <w:smallCaps/>
          <w:lang w:val="en-IE"/>
        </w:rPr>
        <w:t xml:space="preserve"> </w:t>
      </w:r>
      <w:hyperlink r:id="rId9" w:history="1">
        <w:r w:rsidRPr="00882D2B">
          <w:rPr>
            <w:rStyle w:val="Hyperlink"/>
            <w:color w:val="auto"/>
            <w:u w:val="none"/>
            <w:lang w:val="en-IE"/>
          </w:rPr>
          <w:t>BCG vaccination reduces risk of tuberculosis infection in vaccinated badgers and unvaccinated badger cubs.</w:t>
        </w:r>
      </w:hyperlink>
      <w:r w:rsidRPr="00882D2B">
        <w:rPr>
          <w:i/>
          <w:iCs/>
          <w:lang w:val="en-IE"/>
        </w:rPr>
        <w:t xml:space="preserve"> </w:t>
      </w:r>
      <w:proofErr w:type="spellStart"/>
      <w:r w:rsidRPr="00AC49E1">
        <w:rPr>
          <w:i/>
          <w:iCs/>
          <w:lang w:val="en-IE"/>
        </w:rPr>
        <w:t>PLoS</w:t>
      </w:r>
      <w:proofErr w:type="spellEnd"/>
      <w:r w:rsidRPr="00AC49E1">
        <w:rPr>
          <w:i/>
          <w:iCs/>
          <w:lang w:val="en-IE"/>
        </w:rPr>
        <w:t xml:space="preserve"> One</w:t>
      </w:r>
      <w:r w:rsidR="0045105E" w:rsidRPr="00AC49E1">
        <w:rPr>
          <w:i/>
          <w:iCs/>
          <w:lang w:val="en-IE"/>
        </w:rPr>
        <w:t xml:space="preserve">, </w:t>
      </w:r>
      <w:r w:rsidRPr="00AC49E1">
        <w:rPr>
          <w:i/>
          <w:iCs/>
          <w:lang w:val="en-IE"/>
        </w:rPr>
        <w:t xml:space="preserve">7:e49833. </w:t>
      </w:r>
      <w:proofErr w:type="spellStart"/>
      <w:r w:rsidRPr="00AC49E1">
        <w:rPr>
          <w:lang w:val="en-IE"/>
        </w:rPr>
        <w:t>doi</w:t>
      </w:r>
      <w:proofErr w:type="spellEnd"/>
      <w:r w:rsidRPr="00AC49E1">
        <w:rPr>
          <w:lang w:val="en-IE"/>
        </w:rPr>
        <w:t xml:space="preserve">: 10.1371/journal.pone.0049833. </w:t>
      </w:r>
    </w:p>
    <w:p w14:paraId="45647BB1" w14:textId="77777777" w:rsidR="00B112EF" w:rsidRPr="00B112EF" w:rsidRDefault="00B112EF" w:rsidP="00B112EF">
      <w:pPr>
        <w:pStyle w:val="Ref"/>
        <w:ind w:left="0" w:firstLine="0"/>
      </w:pPr>
      <w:r w:rsidRPr="00AC49E1">
        <w:rPr>
          <w:smallCaps/>
          <w:lang w:val="en-IE"/>
        </w:rPr>
        <w:t xml:space="preserve">Casal C., Infantes J.A., </w:t>
      </w:r>
      <w:proofErr w:type="spellStart"/>
      <w:r w:rsidRPr="00AC49E1">
        <w:rPr>
          <w:smallCaps/>
          <w:lang w:val="en-IE"/>
        </w:rPr>
        <w:t>Risalde</w:t>
      </w:r>
      <w:proofErr w:type="spellEnd"/>
      <w:r w:rsidRPr="00AC49E1">
        <w:rPr>
          <w:smallCaps/>
          <w:lang w:val="en-IE"/>
        </w:rPr>
        <w:t xml:space="preserve"> M.A., </w:t>
      </w:r>
      <w:proofErr w:type="spellStart"/>
      <w:r w:rsidRPr="00AC49E1">
        <w:rPr>
          <w:smallCaps/>
          <w:lang w:val="en-IE"/>
        </w:rPr>
        <w:t>Díez</w:t>
      </w:r>
      <w:proofErr w:type="spellEnd"/>
      <w:r w:rsidRPr="00AC49E1">
        <w:rPr>
          <w:smallCaps/>
          <w:lang w:val="en-IE"/>
        </w:rPr>
        <w:t xml:space="preserve">-Guerrier A., </w:t>
      </w:r>
      <w:r w:rsidRPr="00AC49E1">
        <w:rPr>
          <w:lang w:val="en-IE"/>
        </w:rPr>
        <w:t>Domínguez M., Moreno I., Romero B., de Juan L., Sáez J.L., Juste R.,</w:t>
      </w:r>
      <w:r w:rsidRPr="00AC49E1">
        <w:rPr>
          <w:smallCaps/>
          <w:lang w:val="en-IE"/>
        </w:rPr>
        <w:t xml:space="preserve"> </w:t>
      </w:r>
      <w:proofErr w:type="spellStart"/>
      <w:r w:rsidRPr="00AC49E1">
        <w:rPr>
          <w:lang w:val="en-IE"/>
        </w:rPr>
        <w:t>Gortázar</w:t>
      </w:r>
      <w:proofErr w:type="spellEnd"/>
      <w:r w:rsidRPr="00AC49E1">
        <w:rPr>
          <w:lang w:val="en-IE"/>
        </w:rPr>
        <w:t xml:space="preserve"> C., Domínguez L. &amp; Bezos J. (2017). </w:t>
      </w:r>
      <w:r w:rsidRPr="00B112EF">
        <w:t xml:space="preserve">Antibody detection tests improve the sensitivity of tuberculosis diagnosis in cattle. </w:t>
      </w:r>
      <w:r w:rsidRPr="00B112EF">
        <w:rPr>
          <w:i/>
          <w:iCs/>
        </w:rPr>
        <w:t>Res. Vet. Sci</w:t>
      </w:r>
      <w:r>
        <w:t>.,</w:t>
      </w:r>
      <w:r w:rsidRPr="00B112EF">
        <w:t xml:space="preserve"> </w:t>
      </w:r>
      <w:r w:rsidRPr="00B112EF">
        <w:rPr>
          <w:b/>
          <w:bCs/>
        </w:rPr>
        <w:t>112</w:t>
      </w:r>
      <w:r w:rsidRPr="00B112EF">
        <w:t>, 214</w:t>
      </w:r>
      <w:r>
        <w:t>–</w:t>
      </w:r>
      <w:r w:rsidRPr="00B112EF">
        <w:t>221.</w:t>
      </w:r>
    </w:p>
    <w:p w14:paraId="4B6CA57E" w14:textId="77777777" w:rsidR="001F0456" w:rsidRPr="00F668BA" w:rsidRDefault="001F0456" w:rsidP="001F0456">
      <w:pPr>
        <w:pStyle w:val="Ref"/>
        <w:ind w:left="0" w:firstLine="0"/>
        <w:rPr>
          <w:lang w:val="fr-FR"/>
        </w:rPr>
      </w:pPr>
      <w:r w:rsidRPr="00882D2B">
        <w:rPr>
          <w:smallCaps/>
          <w:lang w:val="en-IE"/>
        </w:rPr>
        <w:t xml:space="preserve">Coad M., </w:t>
      </w:r>
      <w:proofErr w:type="spellStart"/>
      <w:r w:rsidRPr="00882D2B">
        <w:rPr>
          <w:smallCaps/>
          <w:lang w:val="en-IE"/>
        </w:rPr>
        <w:t>Hewinson</w:t>
      </w:r>
      <w:proofErr w:type="spellEnd"/>
      <w:r w:rsidRPr="00882D2B">
        <w:rPr>
          <w:smallCaps/>
          <w:lang w:val="en-IE"/>
        </w:rPr>
        <w:t xml:space="preserve"> R.G., Clifford D., </w:t>
      </w:r>
      <w:proofErr w:type="spellStart"/>
      <w:r w:rsidRPr="00882D2B">
        <w:rPr>
          <w:smallCaps/>
          <w:lang w:val="en-IE"/>
        </w:rPr>
        <w:t>Vordermeier</w:t>
      </w:r>
      <w:proofErr w:type="spellEnd"/>
      <w:r w:rsidRPr="00882D2B">
        <w:rPr>
          <w:smallCaps/>
          <w:lang w:val="en-IE"/>
        </w:rPr>
        <w:t xml:space="preserve"> H.M. &amp; Whelan A.O</w:t>
      </w:r>
      <w:r w:rsidRPr="00882D2B">
        <w:rPr>
          <w:lang w:val="en-IE"/>
        </w:rPr>
        <w:t xml:space="preserve">. (2007). Influence of skin testing and blood storage on interferon-gamma production in cattle affected naturally with </w:t>
      </w:r>
      <w:r w:rsidRPr="00882D2B">
        <w:rPr>
          <w:i/>
          <w:iCs/>
          <w:lang w:val="en-IE"/>
        </w:rPr>
        <w:t xml:space="preserve">Mycobacterium </w:t>
      </w:r>
      <w:proofErr w:type="spellStart"/>
      <w:r w:rsidRPr="00882D2B">
        <w:rPr>
          <w:i/>
          <w:iCs/>
          <w:lang w:val="en-IE"/>
        </w:rPr>
        <w:t>bovis</w:t>
      </w:r>
      <w:proofErr w:type="spellEnd"/>
      <w:r w:rsidRPr="00882D2B">
        <w:rPr>
          <w:i/>
          <w:iCs/>
          <w:lang w:val="en-IE"/>
        </w:rPr>
        <w:t xml:space="preserve">. </w:t>
      </w:r>
      <w:r w:rsidRPr="00F668BA">
        <w:rPr>
          <w:i/>
          <w:iCs/>
          <w:lang w:val="fr-FR"/>
        </w:rPr>
        <w:t>Vet. Rec.,</w:t>
      </w:r>
      <w:r w:rsidRPr="00F668BA">
        <w:rPr>
          <w:lang w:val="fr-FR"/>
        </w:rPr>
        <w:t xml:space="preserve"> </w:t>
      </w:r>
      <w:r w:rsidRPr="00F668BA">
        <w:rPr>
          <w:b/>
          <w:bCs/>
          <w:lang w:val="fr-FR"/>
        </w:rPr>
        <w:t>160</w:t>
      </w:r>
      <w:r w:rsidRPr="00F668BA">
        <w:rPr>
          <w:lang w:val="fr-FR"/>
        </w:rPr>
        <w:t>, 660–662.</w:t>
      </w:r>
    </w:p>
    <w:p w14:paraId="704C5E5D" w14:textId="29EAB0F8" w:rsidR="001A7223" w:rsidRPr="00E96642" w:rsidRDefault="00BD2740" w:rsidP="00AD2172">
      <w:pPr>
        <w:pStyle w:val="Ref"/>
        <w:ind w:left="0" w:firstLine="0"/>
      </w:pPr>
      <w:proofErr w:type="spellStart"/>
      <w:r w:rsidRPr="00F668BA">
        <w:rPr>
          <w:smallCaps/>
          <w:lang w:val="fr-FR"/>
        </w:rPr>
        <w:t>Courcoul</w:t>
      </w:r>
      <w:proofErr w:type="spellEnd"/>
      <w:r w:rsidRPr="00F668BA">
        <w:rPr>
          <w:smallCaps/>
          <w:lang w:val="fr-FR"/>
        </w:rPr>
        <w:t xml:space="preserve"> A</w:t>
      </w:r>
      <w:r w:rsidR="00F668BA">
        <w:rPr>
          <w:smallCaps/>
          <w:lang w:val="fr-FR"/>
        </w:rPr>
        <w:t>.</w:t>
      </w:r>
      <w:r w:rsidRPr="00F668BA">
        <w:rPr>
          <w:smallCaps/>
          <w:lang w:val="fr-FR"/>
        </w:rPr>
        <w:t>, Moyen J</w:t>
      </w:r>
      <w:r w:rsidR="00F668BA">
        <w:rPr>
          <w:smallCaps/>
          <w:lang w:val="fr-FR"/>
        </w:rPr>
        <w:t>.</w:t>
      </w:r>
      <w:r w:rsidRPr="00F668BA">
        <w:rPr>
          <w:smallCaps/>
          <w:lang w:val="fr-FR"/>
        </w:rPr>
        <w:t>-L</w:t>
      </w:r>
      <w:r w:rsidR="00F668BA">
        <w:rPr>
          <w:smallCaps/>
          <w:lang w:val="fr-FR"/>
        </w:rPr>
        <w:t>.</w:t>
      </w:r>
      <w:r w:rsidRPr="00F668BA">
        <w:rPr>
          <w:smallCaps/>
          <w:lang w:val="fr-FR"/>
        </w:rPr>
        <w:t xml:space="preserve">, </w:t>
      </w:r>
      <w:proofErr w:type="spellStart"/>
      <w:r w:rsidRPr="00F668BA">
        <w:rPr>
          <w:smallCaps/>
          <w:lang w:val="fr-FR"/>
        </w:rPr>
        <w:t>Brugère</w:t>
      </w:r>
      <w:proofErr w:type="spellEnd"/>
      <w:r w:rsidRPr="00F668BA">
        <w:rPr>
          <w:smallCaps/>
          <w:lang w:val="fr-FR"/>
        </w:rPr>
        <w:t xml:space="preserve"> L</w:t>
      </w:r>
      <w:r w:rsidR="00F668BA">
        <w:rPr>
          <w:smallCaps/>
          <w:lang w:val="fr-FR"/>
        </w:rPr>
        <w:t>.</w:t>
      </w:r>
      <w:r w:rsidRPr="00F668BA">
        <w:rPr>
          <w:smallCaps/>
          <w:lang w:val="fr-FR"/>
        </w:rPr>
        <w:t>, Faye S</w:t>
      </w:r>
      <w:r w:rsidR="00F668BA">
        <w:rPr>
          <w:smallCaps/>
          <w:lang w:val="fr-FR"/>
        </w:rPr>
        <w:t>.</w:t>
      </w:r>
      <w:r w:rsidRPr="00F668BA">
        <w:rPr>
          <w:smallCaps/>
          <w:lang w:val="fr-FR"/>
        </w:rPr>
        <w:t>, Hénault S</w:t>
      </w:r>
      <w:r w:rsidR="00F668BA">
        <w:rPr>
          <w:smallCaps/>
          <w:lang w:val="fr-FR"/>
        </w:rPr>
        <w:t>.</w:t>
      </w:r>
      <w:r w:rsidRPr="00F668BA">
        <w:rPr>
          <w:smallCaps/>
          <w:lang w:val="fr-FR"/>
        </w:rPr>
        <w:t>, Gares H</w:t>
      </w:r>
      <w:r w:rsidR="00F668BA">
        <w:rPr>
          <w:smallCaps/>
          <w:lang w:val="fr-FR"/>
        </w:rPr>
        <w:t xml:space="preserve">. &amp; </w:t>
      </w:r>
      <w:proofErr w:type="spellStart"/>
      <w:r w:rsidR="00F668BA">
        <w:rPr>
          <w:smallCaps/>
          <w:lang w:val="fr-FR"/>
        </w:rPr>
        <w:t>Boschiroli</w:t>
      </w:r>
      <w:proofErr w:type="spellEnd"/>
      <w:r w:rsidR="00F668BA">
        <w:rPr>
          <w:smallCaps/>
          <w:lang w:val="fr-FR"/>
        </w:rPr>
        <w:t xml:space="preserve"> M.-L.</w:t>
      </w:r>
      <w:r w:rsidRPr="00F668BA">
        <w:rPr>
          <w:smallCaps/>
          <w:lang w:val="fr-FR"/>
        </w:rPr>
        <w:t>.</w:t>
      </w:r>
      <w:r w:rsidRPr="00F668BA">
        <w:rPr>
          <w:lang w:val="fr-FR"/>
        </w:rPr>
        <w:t xml:space="preserve"> </w:t>
      </w:r>
      <w:r>
        <w:t xml:space="preserve">(2014) Estimation of </w:t>
      </w:r>
      <w:r w:rsidR="00F668BA">
        <w:t xml:space="preserve">sensitivity and specificity of bacteriology, histopathology and </w:t>
      </w:r>
      <w:r>
        <w:t xml:space="preserve">PCR for </w:t>
      </w:r>
      <w:r w:rsidR="00F668BA">
        <w:t>the confirmatory diagnosis of bovine tuberculosis using latent class analysis</w:t>
      </w:r>
      <w:r>
        <w:t xml:space="preserve">. </w:t>
      </w:r>
      <w:proofErr w:type="spellStart"/>
      <w:r w:rsidRPr="00F668BA">
        <w:rPr>
          <w:i/>
          <w:iCs/>
        </w:rPr>
        <w:t>PLoS</w:t>
      </w:r>
      <w:proofErr w:type="spellEnd"/>
      <w:r w:rsidRPr="00F668BA">
        <w:rPr>
          <w:i/>
          <w:iCs/>
        </w:rPr>
        <w:t xml:space="preserve"> </w:t>
      </w:r>
      <w:r w:rsidR="00F668BA" w:rsidRPr="00F668BA">
        <w:rPr>
          <w:i/>
          <w:iCs/>
        </w:rPr>
        <w:t>One</w:t>
      </w:r>
      <w:r w:rsidR="00F668BA">
        <w:t xml:space="preserve">, </w:t>
      </w:r>
      <w:r w:rsidRPr="00F668BA">
        <w:rPr>
          <w:b/>
          <w:bCs/>
        </w:rPr>
        <w:t>9</w:t>
      </w:r>
      <w:r>
        <w:t>(3): e90334. https://doi.org/10.1371/journal.pone.0090334</w:t>
      </w:r>
      <w:r w:rsidR="0055454B" w:rsidRPr="00E96642">
        <w:t xml:space="preserve">. </w:t>
      </w:r>
    </w:p>
    <w:p w14:paraId="3302066D" w14:textId="77777777" w:rsidR="001F0456" w:rsidRPr="00CE7A6F" w:rsidRDefault="001F0456" w:rsidP="001F0456">
      <w:pPr>
        <w:pStyle w:val="Ref"/>
        <w:ind w:left="0" w:firstLine="0"/>
        <w:rPr>
          <w:lang w:val="it-IT" w:eastAsia="en-AU"/>
        </w:rPr>
      </w:pPr>
      <w:r w:rsidRPr="00882D2B">
        <w:rPr>
          <w:smallCaps/>
          <w:lang w:val="en-IE" w:eastAsia="en-AU"/>
        </w:rPr>
        <w:t xml:space="preserve">Cousins D.V., Francis B.R. &amp; </w:t>
      </w:r>
      <w:proofErr w:type="spellStart"/>
      <w:r w:rsidRPr="00882D2B">
        <w:rPr>
          <w:smallCaps/>
          <w:lang w:val="en-IE" w:eastAsia="en-AU"/>
        </w:rPr>
        <w:t>Gow</w:t>
      </w:r>
      <w:proofErr w:type="spellEnd"/>
      <w:r w:rsidRPr="00882D2B">
        <w:rPr>
          <w:smallCaps/>
          <w:lang w:val="en-IE" w:eastAsia="en-AU"/>
        </w:rPr>
        <w:t xml:space="preserve"> B.L</w:t>
      </w:r>
      <w:r w:rsidRPr="00882D2B">
        <w:rPr>
          <w:lang w:val="en-IE" w:eastAsia="en-AU"/>
        </w:rPr>
        <w:t xml:space="preserve">. (1989). Advantages of a new agar medium in the primary isolation of </w:t>
      </w:r>
      <w:r w:rsidRPr="00882D2B">
        <w:rPr>
          <w:i/>
          <w:iCs/>
          <w:lang w:val="en-IE" w:eastAsia="en-AU"/>
        </w:rPr>
        <w:t xml:space="preserve">Mycobacterium </w:t>
      </w:r>
      <w:proofErr w:type="spellStart"/>
      <w:r w:rsidRPr="00882D2B">
        <w:rPr>
          <w:i/>
          <w:iCs/>
          <w:lang w:val="en-IE" w:eastAsia="en-AU"/>
        </w:rPr>
        <w:t>bovis</w:t>
      </w:r>
      <w:proofErr w:type="spellEnd"/>
      <w:r w:rsidRPr="00882D2B">
        <w:rPr>
          <w:i/>
          <w:iCs/>
          <w:lang w:val="en-IE" w:eastAsia="en-AU"/>
        </w:rPr>
        <w:t xml:space="preserve">. </w:t>
      </w:r>
      <w:r w:rsidRPr="00CE7A6F">
        <w:rPr>
          <w:i/>
          <w:iCs/>
          <w:lang w:val="it-IT" w:eastAsia="en-AU"/>
        </w:rPr>
        <w:t>Vet. Microbiol</w:t>
      </w:r>
      <w:r w:rsidRPr="00CE7A6F">
        <w:rPr>
          <w:lang w:val="it-IT" w:eastAsia="en-AU"/>
        </w:rPr>
        <w:t xml:space="preserve">., </w:t>
      </w:r>
      <w:r w:rsidRPr="00CE7A6F">
        <w:rPr>
          <w:b/>
          <w:bCs/>
          <w:lang w:val="it-IT" w:eastAsia="en-AU"/>
        </w:rPr>
        <w:t>20</w:t>
      </w:r>
      <w:r w:rsidRPr="00CE7A6F">
        <w:rPr>
          <w:lang w:val="it-IT" w:eastAsia="en-AU"/>
        </w:rPr>
        <w:t xml:space="preserve">, 89–95. </w:t>
      </w:r>
    </w:p>
    <w:p w14:paraId="6FBD521F" w14:textId="108EFAC8" w:rsidR="001F0456" w:rsidRPr="00882D2B" w:rsidRDefault="001F0456" w:rsidP="001F0456">
      <w:pPr>
        <w:pStyle w:val="Ref"/>
        <w:ind w:left="0" w:firstLine="0"/>
        <w:rPr>
          <w:smallCaps/>
          <w:lang w:val="en-IE"/>
        </w:rPr>
      </w:pPr>
      <w:r w:rsidRPr="00882D2B">
        <w:rPr>
          <w:smallCaps/>
          <w:color w:val="212121"/>
          <w:shd w:val="clear" w:color="auto" w:fill="FFFFFF"/>
          <w:lang w:val="it-IT"/>
        </w:rPr>
        <w:t>Couvin D</w:t>
      </w:r>
      <w:r w:rsidR="009110D4" w:rsidRPr="00882D2B">
        <w:rPr>
          <w:smallCaps/>
          <w:color w:val="212121"/>
          <w:shd w:val="clear" w:color="auto" w:fill="FFFFFF"/>
          <w:lang w:val="it-IT"/>
        </w:rPr>
        <w:t>.</w:t>
      </w:r>
      <w:r w:rsidRPr="00882D2B">
        <w:rPr>
          <w:smallCaps/>
          <w:color w:val="212121"/>
          <w:shd w:val="clear" w:color="auto" w:fill="FFFFFF"/>
          <w:lang w:val="it-IT"/>
        </w:rPr>
        <w:t>, David A</w:t>
      </w:r>
      <w:r w:rsidR="009110D4" w:rsidRPr="00882D2B">
        <w:rPr>
          <w:smallCaps/>
          <w:color w:val="212121"/>
          <w:shd w:val="clear" w:color="auto" w:fill="FFFFFF"/>
          <w:lang w:val="it-IT"/>
        </w:rPr>
        <w:t>.</w:t>
      </w:r>
      <w:r w:rsidRPr="00882D2B">
        <w:rPr>
          <w:smallCaps/>
          <w:color w:val="212121"/>
          <w:shd w:val="clear" w:color="auto" w:fill="FFFFFF"/>
          <w:lang w:val="it-IT"/>
        </w:rPr>
        <w:t>, Zozio T</w:t>
      </w:r>
      <w:r w:rsidR="009110D4" w:rsidRPr="00882D2B">
        <w:rPr>
          <w:smallCaps/>
          <w:color w:val="212121"/>
          <w:shd w:val="clear" w:color="auto" w:fill="FFFFFF"/>
          <w:lang w:val="it-IT"/>
        </w:rPr>
        <w:t>. &amp;</w:t>
      </w:r>
      <w:r w:rsidRPr="00882D2B">
        <w:rPr>
          <w:smallCaps/>
          <w:color w:val="212121"/>
          <w:shd w:val="clear" w:color="auto" w:fill="FFFFFF"/>
          <w:lang w:val="it-IT"/>
        </w:rPr>
        <w:t xml:space="preserve"> Rastogi N</w:t>
      </w:r>
      <w:r w:rsidRPr="00882D2B">
        <w:rPr>
          <w:color w:val="212121"/>
          <w:shd w:val="clear" w:color="auto" w:fill="FFFFFF"/>
          <w:lang w:val="it-IT"/>
        </w:rPr>
        <w:t xml:space="preserve">. </w:t>
      </w:r>
      <w:r w:rsidR="009110D4" w:rsidRPr="00882D2B">
        <w:rPr>
          <w:color w:val="212121"/>
          <w:shd w:val="clear" w:color="auto" w:fill="FFFFFF"/>
          <w:lang w:val="it-IT"/>
        </w:rPr>
        <w:t xml:space="preserve">(2019). </w:t>
      </w:r>
      <w:r w:rsidRPr="00882D2B">
        <w:rPr>
          <w:color w:val="212121"/>
          <w:shd w:val="clear" w:color="auto" w:fill="FFFFFF"/>
          <w:lang w:val="en-IE"/>
        </w:rPr>
        <w:t xml:space="preserve">Macro-geographical specificities of the prevailing tuberculosis epidemic as seen through SITVIT2, an updated version of the </w:t>
      </w:r>
      <w:r w:rsidRPr="00882D2B">
        <w:rPr>
          <w:i/>
          <w:iCs/>
          <w:color w:val="212121"/>
          <w:shd w:val="clear" w:color="auto" w:fill="FFFFFF"/>
          <w:lang w:val="en-IE"/>
        </w:rPr>
        <w:t>Mycobacterium tuberculosis</w:t>
      </w:r>
      <w:r w:rsidRPr="00882D2B">
        <w:rPr>
          <w:color w:val="212121"/>
          <w:shd w:val="clear" w:color="auto" w:fill="FFFFFF"/>
          <w:lang w:val="en-IE"/>
        </w:rPr>
        <w:t xml:space="preserve"> genotyping database. Infect</w:t>
      </w:r>
      <w:r w:rsidR="009110D4" w:rsidRPr="00882D2B">
        <w:rPr>
          <w:color w:val="212121"/>
          <w:shd w:val="clear" w:color="auto" w:fill="FFFFFF"/>
          <w:lang w:val="en-IE"/>
        </w:rPr>
        <w:t>.</w:t>
      </w:r>
      <w:r w:rsidRPr="00882D2B">
        <w:rPr>
          <w:color w:val="212121"/>
          <w:shd w:val="clear" w:color="auto" w:fill="FFFFFF"/>
          <w:lang w:val="en-IE"/>
        </w:rPr>
        <w:t xml:space="preserve"> Genet</w:t>
      </w:r>
      <w:r w:rsidR="009110D4" w:rsidRPr="00882D2B">
        <w:rPr>
          <w:color w:val="212121"/>
          <w:shd w:val="clear" w:color="auto" w:fill="FFFFFF"/>
          <w:lang w:val="en-IE"/>
        </w:rPr>
        <w:t>.</w:t>
      </w:r>
      <w:r w:rsidRPr="00882D2B">
        <w:rPr>
          <w:color w:val="212121"/>
          <w:shd w:val="clear" w:color="auto" w:fill="FFFFFF"/>
          <w:lang w:val="en-IE"/>
        </w:rPr>
        <w:t xml:space="preserve"> </w:t>
      </w:r>
      <w:proofErr w:type="spellStart"/>
      <w:r w:rsidRPr="00882D2B">
        <w:rPr>
          <w:color w:val="212121"/>
          <w:shd w:val="clear" w:color="auto" w:fill="FFFFFF"/>
          <w:lang w:val="en-IE"/>
        </w:rPr>
        <w:t>Evol</w:t>
      </w:r>
      <w:proofErr w:type="spellEnd"/>
      <w:r w:rsidRPr="00882D2B">
        <w:rPr>
          <w:color w:val="212121"/>
          <w:shd w:val="clear" w:color="auto" w:fill="FFFFFF"/>
          <w:lang w:val="en-IE"/>
        </w:rPr>
        <w:t>.</w:t>
      </w:r>
      <w:r w:rsidR="009110D4" w:rsidRPr="00882D2B">
        <w:rPr>
          <w:color w:val="212121"/>
          <w:shd w:val="clear" w:color="auto" w:fill="FFFFFF"/>
          <w:lang w:val="en-IE"/>
        </w:rPr>
        <w:t xml:space="preserve">, </w:t>
      </w:r>
      <w:r w:rsidRPr="00882D2B">
        <w:rPr>
          <w:b/>
          <w:bCs/>
          <w:color w:val="212121"/>
          <w:shd w:val="clear" w:color="auto" w:fill="FFFFFF"/>
          <w:lang w:val="en-IE"/>
        </w:rPr>
        <w:t>72</w:t>
      </w:r>
      <w:r w:rsidR="009110D4" w:rsidRPr="00882D2B">
        <w:rPr>
          <w:color w:val="212121"/>
          <w:shd w:val="clear" w:color="auto" w:fill="FFFFFF"/>
          <w:lang w:val="en-IE"/>
        </w:rPr>
        <w:t xml:space="preserve">, </w:t>
      </w:r>
      <w:r w:rsidRPr="00882D2B">
        <w:rPr>
          <w:color w:val="212121"/>
          <w:shd w:val="clear" w:color="auto" w:fill="FFFFFF"/>
          <w:lang w:val="en-IE"/>
        </w:rPr>
        <w:t>31</w:t>
      </w:r>
      <w:r w:rsidR="009110D4" w:rsidRPr="00882D2B">
        <w:rPr>
          <w:color w:val="212121"/>
          <w:shd w:val="clear" w:color="auto" w:fill="FFFFFF"/>
          <w:lang w:val="en-IE"/>
        </w:rPr>
        <w:t>–</w:t>
      </w:r>
      <w:r w:rsidRPr="00882D2B">
        <w:rPr>
          <w:color w:val="212121"/>
          <w:shd w:val="clear" w:color="auto" w:fill="FFFFFF"/>
          <w:lang w:val="en-IE"/>
        </w:rPr>
        <w:t xml:space="preserve">43. </w:t>
      </w:r>
      <w:proofErr w:type="spellStart"/>
      <w:r w:rsidRPr="00882D2B">
        <w:rPr>
          <w:color w:val="212121"/>
          <w:shd w:val="clear" w:color="auto" w:fill="FFFFFF"/>
          <w:lang w:val="en-IE"/>
        </w:rPr>
        <w:t>doi</w:t>
      </w:r>
      <w:proofErr w:type="spellEnd"/>
      <w:r w:rsidRPr="00882D2B">
        <w:rPr>
          <w:color w:val="212121"/>
          <w:shd w:val="clear" w:color="auto" w:fill="FFFFFF"/>
          <w:lang w:val="en-IE"/>
        </w:rPr>
        <w:t>: 10.1016/j.meegid.2018.12.030.</w:t>
      </w:r>
    </w:p>
    <w:p w14:paraId="4D0456E3" w14:textId="6EB27D86" w:rsidR="001F0456" w:rsidRPr="00CE7A6F" w:rsidRDefault="001F0456" w:rsidP="001F0456">
      <w:pPr>
        <w:pStyle w:val="Ref"/>
        <w:ind w:left="0" w:firstLine="0"/>
        <w:rPr>
          <w:smallCaps/>
          <w:lang w:val="en-IE"/>
        </w:rPr>
      </w:pPr>
      <w:r w:rsidRPr="00882D2B">
        <w:rPr>
          <w:rStyle w:val="self-citation-authors"/>
          <w:rFonts w:eastAsiaTheme="majorEastAsia"/>
          <w:smallCaps/>
          <w:color w:val="333333"/>
          <w:lang w:val="en-IE"/>
        </w:rPr>
        <w:t>Dykema P</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E</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 Stokes K</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D</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 Beckwith N</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R</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 Mungin J</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W</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 Xu L</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 Vickers D</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J</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 Reising M</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M</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 Bravo D</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M</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 Thomsen B</w:t>
      </w:r>
      <w:r w:rsidR="009110D4" w:rsidRPr="00882D2B">
        <w:rPr>
          <w:rStyle w:val="self-citation-authors"/>
          <w:rFonts w:eastAsiaTheme="majorEastAsia"/>
          <w:smallCaps/>
          <w:color w:val="333333"/>
          <w:lang w:val="en-IE"/>
        </w:rPr>
        <w:t>.</w:t>
      </w:r>
      <w:r w:rsidRPr="00882D2B">
        <w:rPr>
          <w:rStyle w:val="self-citation-authors"/>
          <w:rFonts w:eastAsiaTheme="majorEastAsia"/>
          <w:smallCaps/>
          <w:color w:val="333333"/>
          <w:lang w:val="en-IE"/>
        </w:rPr>
        <w:t>V</w:t>
      </w:r>
      <w:r w:rsidR="009110D4" w:rsidRPr="00882D2B">
        <w:rPr>
          <w:rStyle w:val="self-citation-authors"/>
          <w:rFonts w:eastAsiaTheme="majorEastAsia"/>
          <w:smallCaps/>
          <w:color w:val="333333"/>
          <w:lang w:val="en-IE"/>
        </w:rPr>
        <w:t>. &amp;</w:t>
      </w:r>
      <w:r w:rsidRPr="00882D2B">
        <w:rPr>
          <w:rStyle w:val="self-citation-authors"/>
          <w:rFonts w:eastAsiaTheme="majorEastAsia"/>
          <w:smallCaps/>
          <w:color w:val="333333"/>
          <w:lang w:val="en-IE"/>
        </w:rPr>
        <w:t xml:space="preserve"> Robbe-Austerman S.</w:t>
      </w:r>
      <w:r w:rsidR="009110D4" w:rsidRPr="00882D2B">
        <w:rPr>
          <w:rStyle w:val="apple-converted-space"/>
          <w:rFonts w:eastAsiaTheme="majorEastAsia"/>
          <w:color w:val="333333"/>
          <w:lang w:val="en-IE"/>
        </w:rPr>
        <w:t xml:space="preserve"> (</w:t>
      </w:r>
      <w:r w:rsidRPr="00882D2B">
        <w:rPr>
          <w:rStyle w:val="self-citation-year"/>
          <w:color w:val="333333"/>
          <w:lang w:val="en-IE"/>
        </w:rPr>
        <w:t>2016</w:t>
      </w:r>
      <w:r w:rsidR="009110D4" w:rsidRPr="00882D2B">
        <w:rPr>
          <w:rStyle w:val="self-citation-year"/>
          <w:color w:val="333333"/>
          <w:lang w:val="en-IE"/>
        </w:rPr>
        <w:t>)</w:t>
      </w:r>
      <w:r w:rsidRPr="00882D2B">
        <w:rPr>
          <w:lang w:val="en-IE"/>
        </w:rPr>
        <w:t>.</w:t>
      </w:r>
      <w:r w:rsidR="009110D4" w:rsidRPr="00882D2B">
        <w:rPr>
          <w:rStyle w:val="apple-converted-space"/>
          <w:rFonts w:eastAsiaTheme="majorEastAsia"/>
          <w:color w:val="333333"/>
          <w:lang w:val="en-IE"/>
        </w:rPr>
        <w:t xml:space="preserve"> </w:t>
      </w:r>
      <w:r w:rsidRPr="00882D2B">
        <w:rPr>
          <w:rStyle w:val="self-citation-title"/>
          <w:color w:val="333333"/>
          <w:lang w:val="en-IE"/>
        </w:rPr>
        <w:t>Development and validation of a direct real-time PCR assay for</w:t>
      </w:r>
      <w:r w:rsidR="009110D4" w:rsidRPr="00882D2B">
        <w:rPr>
          <w:rStyle w:val="apple-converted-space"/>
          <w:rFonts w:eastAsiaTheme="majorEastAsia"/>
          <w:color w:val="333333"/>
          <w:lang w:val="en-IE"/>
        </w:rPr>
        <w:t xml:space="preserve"> </w:t>
      </w:r>
      <w:r w:rsidRPr="00882D2B">
        <w:rPr>
          <w:rStyle w:val="self-citation-title"/>
          <w:i/>
          <w:iCs/>
          <w:color w:val="333333"/>
          <w:lang w:val="en-IE"/>
        </w:rPr>
        <w:t xml:space="preserve">Mycobacterium </w:t>
      </w:r>
      <w:proofErr w:type="spellStart"/>
      <w:r w:rsidRPr="00882D2B">
        <w:rPr>
          <w:rStyle w:val="self-citation-title"/>
          <w:i/>
          <w:iCs/>
          <w:color w:val="333333"/>
          <w:lang w:val="en-IE"/>
        </w:rPr>
        <w:t>bovis</w:t>
      </w:r>
      <w:proofErr w:type="spellEnd"/>
      <w:r w:rsidR="009110D4" w:rsidRPr="00882D2B">
        <w:rPr>
          <w:rStyle w:val="apple-converted-space"/>
          <w:rFonts w:eastAsiaTheme="majorEastAsia"/>
          <w:color w:val="333333"/>
          <w:lang w:val="en-IE"/>
        </w:rPr>
        <w:t xml:space="preserve"> </w:t>
      </w:r>
      <w:r w:rsidRPr="00882D2B">
        <w:rPr>
          <w:rStyle w:val="self-citation-title"/>
          <w:color w:val="333333"/>
          <w:lang w:val="en-IE"/>
        </w:rPr>
        <w:t>and implementation into the United States national surveillance program</w:t>
      </w:r>
      <w:r w:rsidRPr="00882D2B">
        <w:rPr>
          <w:lang w:val="en-IE"/>
        </w:rPr>
        <w:t xml:space="preserve">. </w:t>
      </w:r>
      <w:proofErr w:type="spellStart"/>
      <w:r w:rsidRPr="00CE7A6F">
        <w:rPr>
          <w:rStyle w:val="self-citation-journal"/>
          <w:i/>
          <w:iCs/>
          <w:color w:val="333333"/>
          <w:lang w:val="en-IE"/>
        </w:rPr>
        <w:t>PeerJPre</w:t>
      </w:r>
      <w:r w:rsidR="009110D4" w:rsidRPr="00CE7A6F">
        <w:rPr>
          <w:rStyle w:val="self-citation-journal"/>
          <w:i/>
          <w:iCs/>
          <w:color w:val="333333"/>
          <w:lang w:val="en-IE"/>
        </w:rPr>
        <w:t>P</w:t>
      </w:r>
      <w:r w:rsidRPr="00CE7A6F">
        <w:rPr>
          <w:rStyle w:val="self-citation-journal"/>
          <w:i/>
          <w:iCs/>
          <w:color w:val="333333"/>
          <w:lang w:val="en-IE"/>
        </w:rPr>
        <w:t>rints</w:t>
      </w:r>
      <w:proofErr w:type="spellEnd"/>
      <w:r w:rsidR="009110D4" w:rsidRPr="00CE7A6F">
        <w:rPr>
          <w:rStyle w:val="apple-converted-space"/>
          <w:rFonts w:eastAsiaTheme="majorEastAsia"/>
          <w:color w:val="333333"/>
          <w:lang w:val="en-IE"/>
        </w:rPr>
        <w:t xml:space="preserve">, </w:t>
      </w:r>
      <w:r w:rsidRPr="00CE7A6F">
        <w:rPr>
          <w:rStyle w:val="self-citation-volume"/>
          <w:color w:val="333333"/>
          <w:lang w:val="en-IE"/>
        </w:rPr>
        <w:t>4</w:t>
      </w:r>
      <w:r w:rsidRPr="00CE7A6F">
        <w:rPr>
          <w:lang w:val="en-IE"/>
        </w:rPr>
        <w:t>:</w:t>
      </w:r>
      <w:r w:rsidRPr="00CE7A6F">
        <w:rPr>
          <w:rStyle w:val="self-citation-elocation"/>
          <w:color w:val="333333"/>
          <w:lang w:val="en-IE"/>
        </w:rPr>
        <w:t>e1703v1</w:t>
      </w:r>
      <w:r w:rsidR="009110D4" w:rsidRPr="00CE7A6F">
        <w:rPr>
          <w:rStyle w:val="apple-converted-space"/>
          <w:rFonts w:eastAsiaTheme="majorEastAsia"/>
          <w:color w:val="333333"/>
          <w:lang w:val="en-IE"/>
        </w:rPr>
        <w:t xml:space="preserve"> </w:t>
      </w:r>
      <w:hyperlink r:id="rId10" w:history="1">
        <w:r w:rsidRPr="00CE7A6F">
          <w:rPr>
            <w:rStyle w:val="Hyperlink"/>
            <w:color w:val="2A85E8"/>
            <w:lang w:val="en-IE"/>
          </w:rPr>
          <w:t>https://doi.org/10.7287/peerj.preprints.1703v1</w:t>
        </w:r>
      </w:hyperlink>
    </w:p>
    <w:p w14:paraId="29E878EF" w14:textId="77777777" w:rsidR="00055A8D" w:rsidRPr="001466DE" w:rsidRDefault="00055A8D" w:rsidP="00055A8D">
      <w:pPr>
        <w:pStyle w:val="11Para"/>
        <w:ind w:left="0"/>
        <w:rPr>
          <w:lang w:val="en-IE"/>
        </w:rPr>
      </w:pPr>
      <w:bookmarkStart w:id="12" w:name="_Hlk23175170"/>
      <w:r>
        <w:rPr>
          <w:lang w:val="en-IE"/>
        </w:rPr>
        <w:t xml:space="preserve">ECDC (2018). </w:t>
      </w:r>
      <w:r w:rsidRPr="005E0FB7">
        <w:rPr>
          <w:lang w:val="en-IE"/>
        </w:rPr>
        <w:t>European Centre for Disease Prevention and Control. Handbook on tuberculosis laboratory</w:t>
      </w:r>
      <w:r>
        <w:rPr>
          <w:lang w:val="en-IE"/>
        </w:rPr>
        <w:t xml:space="preserve"> </w:t>
      </w:r>
      <w:r w:rsidRPr="005E0FB7">
        <w:rPr>
          <w:lang w:val="en-IE"/>
        </w:rPr>
        <w:t>diagnostic methods in the European Union – Updated 2018. Stockholm: ECDC; 2018.</w:t>
      </w:r>
    </w:p>
    <w:p w14:paraId="3A862466" w14:textId="5D213ECA" w:rsidR="001F0456" w:rsidRPr="00F41804" w:rsidRDefault="001F0456" w:rsidP="001F0456">
      <w:pPr>
        <w:pStyle w:val="Ref"/>
        <w:ind w:left="0" w:firstLine="0"/>
        <w:rPr>
          <w:lang w:val="es-ES"/>
        </w:rPr>
      </w:pPr>
      <w:r w:rsidRPr="00CE7A6F">
        <w:rPr>
          <w:smallCaps/>
          <w:lang w:val="en-IE"/>
        </w:rPr>
        <w:t>Finney</w:t>
      </w:r>
      <w:r w:rsidRPr="00CE7A6F">
        <w:rPr>
          <w:lang w:val="en-IE"/>
        </w:rPr>
        <w:t xml:space="preserve"> D.J. (1978). </w:t>
      </w:r>
      <w:r w:rsidRPr="00882D2B">
        <w:rPr>
          <w:lang w:val="en-IE"/>
        </w:rPr>
        <w:t xml:space="preserve">Statistical Methods in Biological Assay, Third Edition. </w:t>
      </w:r>
      <w:r w:rsidRPr="00F41804">
        <w:rPr>
          <w:lang w:val="es-ES"/>
        </w:rPr>
        <w:t>Charles Griffin, London, UK.</w:t>
      </w:r>
    </w:p>
    <w:bookmarkEnd w:id="12"/>
    <w:p w14:paraId="6CB44212" w14:textId="278CE50E" w:rsidR="00055A8D" w:rsidRDefault="00055A8D" w:rsidP="00055A8D">
      <w:pPr>
        <w:pStyle w:val="Ref"/>
        <w:ind w:left="0" w:firstLine="0"/>
        <w:rPr>
          <w:smallCaps/>
          <w:lang w:val="en-IE"/>
        </w:rPr>
      </w:pPr>
      <w:proofErr w:type="spellStart"/>
      <w:r w:rsidRPr="00F668BA">
        <w:rPr>
          <w:smallCaps/>
          <w:lang w:val="es-ES"/>
        </w:rPr>
        <w:t>Gormley</w:t>
      </w:r>
      <w:proofErr w:type="spellEnd"/>
      <w:r w:rsidRPr="00F668BA">
        <w:rPr>
          <w:smallCaps/>
          <w:lang w:val="es-ES"/>
        </w:rPr>
        <w:t xml:space="preserve"> E., </w:t>
      </w:r>
      <w:proofErr w:type="spellStart"/>
      <w:r w:rsidRPr="00F668BA">
        <w:rPr>
          <w:smallCaps/>
          <w:lang w:val="es-ES"/>
        </w:rPr>
        <w:t>Corner</w:t>
      </w:r>
      <w:proofErr w:type="spellEnd"/>
      <w:r w:rsidRPr="00F668BA">
        <w:rPr>
          <w:smallCaps/>
          <w:lang w:val="es-ES"/>
        </w:rPr>
        <w:t xml:space="preserve"> L.A.L., </w:t>
      </w:r>
      <w:proofErr w:type="spellStart"/>
      <w:r w:rsidRPr="00F668BA">
        <w:rPr>
          <w:smallCaps/>
          <w:lang w:val="es-ES"/>
        </w:rPr>
        <w:t>Costello</w:t>
      </w:r>
      <w:proofErr w:type="spellEnd"/>
      <w:r w:rsidRPr="00F668BA">
        <w:rPr>
          <w:smallCaps/>
          <w:lang w:val="es-ES"/>
        </w:rPr>
        <w:t xml:space="preserve"> E. &amp; Rodriguez-Campos S</w:t>
      </w:r>
      <w:r w:rsidRPr="00F668BA">
        <w:rPr>
          <w:lang w:val="es-ES"/>
        </w:rPr>
        <w:t xml:space="preserve">. (2014). </w:t>
      </w:r>
      <w:r w:rsidRPr="00241711">
        <w:rPr>
          <w:lang w:val="en-IE"/>
        </w:rPr>
        <w:t xml:space="preserve">Bacteriological diagnosis and molecular strain typing of </w:t>
      </w:r>
      <w:r w:rsidRPr="006775D7">
        <w:rPr>
          <w:i/>
          <w:iCs/>
          <w:lang w:val="en-IE"/>
        </w:rPr>
        <w:t xml:space="preserve">Mycobacterium </w:t>
      </w:r>
      <w:proofErr w:type="spellStart"/>
      <w:r w:rsidRPr="006775D7">
        <w:rPr>
          <w:i/>
          <w:iCs/>
          <w:lang w:val="en-IE"/>
        </w:rPr>
        <w:t>bovis</w:t>
      </w:r>
      <w:proofErr w:type="spellEnd"/>
      <w:r w:rsidRPr="00241711">
        <w:rPr>
          <w:lang w:val="en-IE"/>
        </w:rPr>
        <w:t xml:space="preserve"> and </w:t>
      </w:r>
      <w:r w:rsidRPr="006775D7">
        <w:rPr>
          <w:i/>
          <w:iCs/>
          <w:lang w:val="en-IE"/>
        </w:rPr>
        <w:t xml:space="preserve">Mycobacterium </w:t>
      </w:r>
      <w:proofErr w:type="spellStart"/>
      <w:r w:rsidRPr="006775D7">
        <w:rPr>
          <w:i/>
          <w:iCs/>
          <w:lang w:val="en-IE"/>
        </w:rPr>
        <w:t>caprae</w:t>
      </w:r>
      <w:proofErr w:type="spellEnd"/>
      <w:r>
        <w:rPr>
          <w:lang w:val="en-IE"/>
        </w:rPr>
        <w:t xml:space="preserve">. </w:t>
      </w:r>
      <w:r w:rsidRPr="00055A8D">
        <w:rPr>
          <w:i/>
          <w:iCs/>
          <w:lang w:val="en-IE"/>
        </w:rPr>
        <w:t>Res. Vet. Sci.,</w:t>
      </w:r>
      <w:r w:rsidRPr="00241711">
        <w:rPr>
          <w:lang w:val="en-IE"/>
        </w:rPr>
        <w:t xml:space="preserve"> </w:t>
      </w:r>
      <w:r w:rsidRPr="00055A8D">
        <w:rPr>
          <w:b/>
          <w:bCs/>
          <w:lang w:val="en-IE"/>
        </w:rPr>
        <w:t>97</w:t>
      </w:r>
      <w:r w:rsidRPr="00241711">
        <w:rPr>
          <w:lang w:val="en-IE"/>
        </w:rPr>
        <w:t xml:space="preserve"> Suppl:S30-43. </w:t>
      </w:r>
      <w:proofErr w:type="spellStart"/>
      <w:r w:rsidRPr="00241711">
        <w:rPr>
          <w:lang w:val="en-IE"/>
        </w:rPr>
        <w:t>doi</w:t>
      </w:r>
      <w:proofErr w:type="spellEnd"/>
      <w:r w:rsidRPr="00241711">
        <w:rPr>
          <w:lang w:val="en-IE"/>
        </w:rPr>
        <w:t>: 10.1016/j.rvsc.2014.04.010.</w:t>
      </w:r>
    </w:p>
    <w:p w14:paraId="56552EE2" w14:textId="3A338CBE" w:rsidR="008A5C84" w:rsidRPr="00882D2B" w:rsidRDefault="008A5C84" w:rsidP="008A5C84">
      <w:pPr>
        <w:pStyle w:val="Ref"/>
        <w:ind w:left="0" w:firstLine="0"/>
        <w:rPr>
          <w:lang w:val="en-IE"/>
        </w:rPr>
      </w:pPr>
      <w:r w:rsidRPr="00882D2B">
        <w:rPr>
          <w:smallCaps/>
          <w:lang w:val="en-IE"/>
        </w:rPr>
        <w:t>Gormley E., Doyle M.B., Fitzsimons T., McGill K. &amp; Collins J.D.</w:t>
      </w:r>
      <w:r w:rsidRPr="00882D2B">
        <w:rPr>
          <w:lang w:val="en-IE"/>
        </w:rPr>
        <w:t xml:space="preserve"> (2006). Diagnosis of </w:t>
      </w:r>
      <w:r w:rsidRPr="00882D2B">
        <w:rPr>
          <w:i/>
          <w:iCs/>
          <w:lang w:val="en-IE"/>
        </w:rPr>
        <w:t xml:space="preserve">Mycobacterium </w:t>
      </w:r>
      <w:proofErr w:type="spellStart"/>
      <w:r w:rsidRPr="00882D2B">
        <w:rPr>
          <w:i/>
          <w:iCs/>
          <w:lang w:val="en-IE"/>
        </w:rPr>
        <w:t>bovis</w:t>
      </w:r>
      <w:proofErr w:type="spellEnd"/>
      <w:r w:rsidRPr="00882D2B">
        <w:rPr>
          <w:i/>
          <w:iCs/>
          <w:lang w:val="en-IE"/>
        </w:rPr>
        <w:t xml:space="preserve"> </w:t>
      </w:r>
      <w:r w:rsidRPr="00882D2B">
        <w:rPr>
          <w:lang w:val="en-IE"/>
        </w:rPr>
        <w:t>infection in cattle by use of the gamma-interferon (</w:t>
      </w:r>
      <w:proofErr w:type="spellStart"/>
      <w:r w:rsidRPr="00882D2B">
        <w:rPr>
          <w:lang w:val="en-IE"/>
        </w:rPr>
        <w:t>Bovigam</w:t>
      </w:r>
      <w:proofErr w:type="spellEnd"/>
      <w:r w:rsidRPr="00882D2B">
        <w:rPr>
          <w:lang w:val="en-IE"/>
        </w:rPr>
        <w:t xml:space="preserve">) assay. </w:t>
      </w:r>
      <w:r w:rsidRPr="00882D2B">
        <w:rPr>
          <w:i/>
          <w:iCs/>
          <w:lang w:val="en-IE"/>
        </w:rPr>
        <w:t xml:space="preserve">Vet. </w:t>
      </w:r>
      <w:proofErr w:type="spellStart"/>
      <w:r w:rsidRPr="00882D2B">
        <w:rPr>
          <w:i/>
          <w:iCs/>
          <w:lang w:val="en-IE"/>
        </w:rPr>
        <w:t>Microbiol</w:t>
      </w:r>
      <w:proofErr w:type="spellEnd"/>
      <w:r w:rsidRPr="00882D2B">
        <w:rPr>
          <w:i/>
          <w:iCs/>
          <w:lang w:val="en-IE"/>
        </w:rPr>
        <w:t xml:space="preserve">., </w:t>
      </w:r>
      <w:r w:rsidRPr="00882D2B">
        <w:rPr>
          <w:b/>
          <w:bCs/>
          <w:lang w:val="en-IE"/>
        </w:rPr>
        <w:t>112</w:t>
      </w:r>
      <w:r w:rsidRPr="00882D2B">
        <w:rPr>
          <w:lang w:val="en-IE"/>
        </w:rPr>
        <w:t>, 171–179.</w:t>
      </w:r>
    </w:p>
    <w:p w14:paraId="6A77CDB5" w14:textId="77777777" w:rsidR="008A5C84" w:rsidRPr="00882D2B" w:rsidRDefault="008A5C84" w:rsidP="008A5C84">
      <w:pPr>
        <w:pStyle w:val="Ref"/>
        <w:ind w:left="0" w:firstLine="0"/>
        <w:rPr>
          <w:lang w:val="en-IE"/>
        </w:rPr>
      </w:pPr>
      <w:r w:rsidRPr="00882D2B">
        <w:rPr>
          <w:smallCaps/>
          <w:lang w:val="en-IE"/>
        </w:rPr>
        <w:t xml:space="preserve">Gormley E., </w:t>
      </w:r>
      <w:proofErr w:type="spellStart"/>
      <w:r w:rsidRPr="00882D2B">
        <w:rPr>
          <w:smallCaps/>
          <w:lang w:val="en-IE"/>
        </w:rPr>
        <w:t>Ní</w:t>
      </w:r>
      <w:proofErr w:type="spellEnd"/>
      <w:r w:rsidRPr="00882D2B">
        <w:rPr>
          <w:smallCaps/>
          <w:lang w:val="en-IE"/>
        </w:rPr>
        <w:t xml:space="preserve"> </w:t>
      </w:r>
      <w:proofErr w:type="spellStart"/>
      <w:r w:rsidRPr="00882D2B">
        <w:rPr>
          <w:smallCaps/>
          <w:lang w:val="en-IE"/>
        </w:rPr>
        <w:t>Bhuachalla</w:t>
      </w:r>
      <w:proofErr w:type="spellEnd"/>
      <w:r w:rsidRPr="00882D2B">
        <w:rPr>
          <w:smallCaps/>
          <w:lang w:val="en-IE"/>
        </w:rPr>
        <w:t xml:space="preserve"> D., O’Keeffe J, Murphy D. &amp; Aldwell F.E.</w:t>
      </w:r>
      <w:r w:rsidRPr="00882D2B">
        <w:rPr>
          <w:lang w:val="en-IE"/>
        </w:rPr>
        <w:t xml:space="preserve"> (2017). Oral vaccination of free-living badgers (Meles </w:t>
      </w:r>
      <w:proofErr w:type="spellStart"/>
      <w:r w:rsidRPr="00882D2B">
        <w:rPr>
          <w:lang w:val="en-IE"/>
        </w:rPr>
        <w:t>meles</w:t>
      </w:r>
      <w:proofErr w:type="spellEnd"/>
      <w:r w:rsidRPr="00882D2B">
        <w:rPr>
          <w:lang w:val="en-IE"/>
        </w:rPr>
        <w:t xml:space="preserve">) with </w:t>
      </w:r>
      <w:proofErr w:type="spellStart"/>
      <w:r w:rsidRPr="00882D2B">
        <w:rPr>
          <w:lang w:val="en-IE"/>
        </w:rPr>
        <w:t>Bacille</w:t>
      </w:r>
      <w:proofErr w:type="spellEnd"/>
      <w:r w:rsidRPr="00882D2B">
        <w:rPr>
          <w:lang w:val="en-IE"/>
        </w:rPr>
        <w:t xml:space="preserve"> Calmette </w:t>
      </w:r>
      <w:proofErr w:type="spellStart"/>
      <w:r w:rsidRPr="00882D2B">
        <w:rPr>
          <w:lang w:val="en-IE"/>
        </w:rPr>
        <w:t>Guérin</w:t>
      </w:r>
      <w:proofErr w:type="spellEnd"/>
      <w:r w:rsidRPr="00882D2B">
        <w:rPr>
          <w:lang w:val="en-IE"/>
        </w:rPr>
        <w:t xml:space="preserve"> (BCG) vaccine confers protection against tuberculosis. </w:t>
      </w:r>
      <w:proofErr w:type="spellStart"/>
      <w:r w:rsidRPr="00882D2B">
        <w:rPr>
          <w:i/>
          <w:iCs/>
          <w:lang w:val="en-IE"/>
        </w:rPr>
        <w:t>PLoS</w:t>
      </w:r>
      <w:proofErr w:type="spellEnd"/>
      <w:r w:rsidRPr="00882D2B">
        <w:rPr>
          <w:i/>
          <w:iCs/>
          <w:lang w:val="en-IE"/>
        </w:rPr>
        <w:t xml:space="preserve"> One</w:t>
      </w:r>
      <w:r w:rsidRPr="00882D2B">
        <w:rPr>
          <w:lang w:val="en-IE"/>
        </w:rPr>
        <w:t xml:space="preserve">, </w:t>
      </w:r>
      <w:r w:rsidRPr="00882D2B">
        <w:rPr>
          <w:b/>
          <w:bCs/>
          <w:lang w:val="en-IE"/>
        </w:rPr>
        <w:t>12</w:t>
      </w:r>
      <w:r w:rsidRPr="00882D2B">
        <w:rPr>
          <w:lang w:val="en-IE"/>
        </w:rPr>
        <w:t>, e0168851.</w:t>
      </w:r>
    </w:p>
    <w:p w14:paraId="6A96E2DF" w14:textId="35537140" w:rsidR="008A5C84" w:rsidRPr="00882D2B" w:rsidRDefault="008A5C84" w:rsidP="008A5C84">
      <w:pPr>
        <w:pStyle w:val="Ref"/>
        <w:ind w:left="0" w:firstLine="0"/>
        <w:rPr>
          <w:lang w:val="en-IE"/>
        </w:rPr>
      </w:pPr>
      <w:r w:rsidRPr="00882D2B">
        <w:rPr>
          <w:smallCaps/>
          <w:lang w:val="en-IE"/>
        </w:rPr>
        <w:t xml:space="preserve">Greenwald R., </w:t>
      </w:r>
      <w:hyperlink r:id="rId11" w:history="1">
        <w:proofErr w:type="spellStart"/>
        <w:r w:rsidRPr="00882D2B">
          <w:rPr>
            <w:smallCaps/>
            <w:lang w:val="en-IE"/>
          </w:rPr>
          <w:t>Lyashchenko</w:t>
        </w:r>
        <w:proofErr w:type="spellEnd"/>
        <w:r w:rsidRPr="00882D2B">
          <w:rPr>
            <w:smallCaps/>
            <w:lang w:val="en-IE"/>
          </w:rPr>
          <w:t xml:space="preserve"> O</w:t>
        </w:r>
      </w:hyperlink>
      <w:r w:rsidRPr="00882D2B">
        <w:rPr>
          <w:smallCaps/>
          <w:lang w:val="en-IE"/>
        </w:rPr>
        <w:t xml:space="preserve">., </w:t>
      </w:r>
      <w:hyperlink r:id="rId12" w:history="1">
        <w:r w:rsidRPr="00882D2B">
          <w:rPr>
            <w:smallCaps/>
            <w:lang w:val="en-IE"/>
          </w:rPr>
          <w:t>Esfandiari J</w:t>
        </w:r>
      </w:hyperlink>
      <w:r w:rsidRPr="00882D2B">
        <w:rPr>
          <w:smallCaps/>
          <w:lang w:val="en-IE"/>
        </w:rPr>
        <w:t xml:space="preserve">., </w:t>
      </w:r>
      <w:hyperlink r:id="rId13" w:history="1">
        <w:r w:rsidRPr="00882D2B">
          <w:rPr>
            <w:smallCaps/>
            <w:lang w:val="en-IE"/>
          </w:rPr>
          <w:t>Miller M</w:t>
        </w:r>
      </w:hyperlink>
      <w:r w:rsidRPr="00882D2B">
        <w:rPr>
          <w:smallCaps/>
          <w:lang w:val="en-IE"/>
        </w:rPr>
        <w:t xml:space="preserve">., </w:t>
      </w:r>
      <w:hyperlink r:id="rId14" w:history="1">
        <w:r w:rsidRPr="00882D2B">
          <w:rPr>
            <w:smallCaps/>
            <w:lang w:val="en-IE"/>
          </w:rPr>
          <w:t>Mikota S</w:t>
        </w:r>
      </w:hyperlink>
      <w:r w:rsidRPr="00882D2B">
        <w:rPr>
          <w:smallCaps/>
          <w:lang w:val="en-IE"/>
        </w:rPr>
        <w:t xml:space="preserve">., </w:t>
      </w:r>
      <w:hyperlink r:id="rId15" w:history="1">
        <w:r w:rsidRPr="00882D2B">
          <w:rPr>
            <w:smallCaps/>
            <w:lang w:val="en-IE"/>
          </w:rPr>
          <w:t>Olsen J.H</w:t>
        </w:r>
      </w:hyperlink>
      <w:r w:rsidRPr="00882D2B">
        <w:rPr>
          <w:smallCaps/>
          <w:lang w:val="en-IE"/>
        </w:rPr>
        <w:t xml:space="preserve">., </w:t>
      </w:r>
      <w:hyperlink r:id="rId16" w:history="1">
        <w:r w:rsidRPr="00882D2B">
          <w:rPr>
            <w:smallCaps/>
            <w:lang w:val="en-IE"/>
          </w:rPr>
          <w:t>Ball R</w:t>
        </w:r>
      </w:hyperlink>
      <w:r w:rsidRPr="00882D2B">
        <w:rPr>
          <w:smallCaps/>
          <w:lang w:val="en-IE"/>
        </w:rPr>
        <w:t xml:space="preserve">., </w:t>
      </w:r>
      <w:hyperlink r:id="rId17" w:history="1">
        <w:r w:rsidRPr="00882D2B">
          <w:rPr>
            <w:smallCaps/>
            <w:lang w:val="en-IE"/>
          </w:rPr>
          <w:t>Dumonceaux G</w:t>
        </w:r>
      </w:hyperlink>
      <w:r w:rsidRPr="00882D2B">
        <w:rPr>
          <w:smallCaps/>
          <w:lang w:val="en-IE"/>
        </w:rPr>
        <w:t xml:space="preserve">., </w:t>
      </w:r>
      <w:hyperlink r:id="rId18" w:history="1">
        <w:r w:rsidRPr="00882D2B">
          <w:rPr>
            <w:smallCaps/>
            <w:lang w:val="en-IE"/>
          </w:rPr>
          <w:t>Schmitt D</w:t>
        </w:r>
      </w:hyperlink>
      <w:r w:rsidRPr="00882D2B">
        <w:rPr>
          <w:smallCaps/>
          <w:lang w:val="en-IE"/>
        </w:rPr>
        <w:t xml:space="preserve">., </w:t>
      </w:r>
      <w:hyperlink r:id="rId19" w:history="1">
        <w:r w:rsidRPr="00882D2B">
          <w:rPr>
            <w:smallCaps/>
            <w:lang w:val="en-IE"/>
          </w:rPr>
          <w:t>Moller T</w:t>
        </w:r>
      </w:hyperlink>
      <w:r w:rsidRPr="00882D2B">
        <w:rPr>
          <w:smallCaps/>
          <w:lang w:val="en-IE"/>
        </w:rPr>
        <w:t xml:space="preserve">., </w:t>
      </w:r>
      <w:hyperlink r:id="rId20" w:history="1">
        <w:r w:rsidRPr="00882D2B">
          <w:rPr>
            <w:smallCaps/>
            <w:lang w:val="en-IE"/>
          </w:rPr>
          <w:t>Payeur J.B</w:t>
        </w:r>
      </w:hyperlink>
      <w:r w:rsidRPr="00882D2B">
        <w:rPr>
          <w:smallCaps/>
          <w:lang w:val="en-IE"/>
        </w:rPr>
        <w:t xml:space="preserve">., </w:t>
      </w:r>
      <w:hyperlink r:id="rId21" w:history="1">
        <w:r w:rsidRPr="00882D2B">
          <w:rPr>
            <w:smallCaps/>
            <w:lang w:val="en-IE"/>
          </w:rPr>
          <w:t>Harris B</w:t>
        </w:r>
      </w:hyperlink>
      <w:r w:rsidRPr="00882D2B">
        <w:rPr>
          <w:smallCaps/>
          <w:lang w:val="en-IE"/>
        </w:rPr>
        <w:t xml:space="preserve">., </w:t>
      </w:r>
      <w:hyperlink r:id="rId22" w:history="1">
        <w:r w:rsidRPr="00882D2B">
          <w:rPr>
            <w:smallCaps/>
            <w:lang w:val="en-IE"/>
          </w:rPr>
          <w:t>Sofranko D</w:t>
        </w:r>
      </w:hyperlink>
      <w:r w:rsidRPr="00882D2B">
        <w:rPr>
          <w:smallCaps/>
          <w:lang w:val="en-IE"/>
        </w:rPr>
        <w:t xml:space="preserve">., </w:t>
      </w:r>
      <w:hyperlink r:id="rId23" w:history="1">
        <w:r w:rsidRPr="00882D2B">
          <w:rPr>
            <w:smallCaps/>
            <w:lang w:val="en-IE"/>
          </w:rPr>
          <w:t>Waters W.R</w:t>
        </w:r>
      </w:hyperlink>
      <w:r w:rsidRPr="00882D2B">
        <w:rPr>
          <w:smallCaps/>
          <w:lang w:val="en-IE"/>
        </w:rPr>
        <w:t xml:space="preserve">. &amp; </w:t>
      </w:r>
      <w:hyperlink r:id="rId24" w:history="1">
        <w:proofErr w:type="spellStart"/>
        <w:r w:rsidRPr="00882D2B">
          <w:rPr>
            <w:smallCaps/>
            <w:lang w:val="en-IE"/>
          </w:rPr>
          <w:t>Lyashchenko</w:t>
        </w:r>
        <w:proofErr w:type="spellEnd"/>
        <w:r w:rsidRPr="00882D2B">
          <w:rPr>
            <w:smallCaps/>
            <w:lang w:val="en-IE"/>
          </w:rPr>
          <w:t xml:space="preserve"> K.P</w:t>
        </w:r>
      </w:hyperlink>
      <w:r w:rsidRPr="00882D2B">
        <w:rPr>
          <w:lang w:val="en-IE"/>
        </w:rPr>
        <w:t xml:space="preserve">. (2009). Highly accurate antibody assays for early and rapid detection of tuberculosis in African and Asian elephants. </w:t>
      </w:r>
      <w:r w:rsidRPr="00882D2B">
        <w:rPr>
          <w:i/>
          <w:iCs/>
          <w:lang w:val="en-IE"/>
        </w:rPr>
        <w:t>Clin. Vaccine Immunol</w:t>
      </w:r>
      <w:r w:rsidRPr="00882D2B">
        <w:rPr>
          <w:lang w:val="en-IE"/>
        </w:rPr>
        <w:t xml:space="preserve">., </w:t>
      </w:r>
      <w:r w:rsidRPr="00882D2B">
        <w:rPr>
          <w:b/>
          <w:bCs/>
          <w:lang w:val="en-IE"/>
        </w:rPr>
        <w:t>16</w:t>
      </w:r>
      <w:r w:rsidRPr="00882D2B">
        <w:rPr>
          <w:lang w:val="en-IE"/>
        </w:rPr>
        <w:t>, 605–612</w:t>
      </w:r>
      <w:r w:rsidR="00026324" w:rsidRPr="00882D2B">
        <w:rPr>
          <w:lang w:val="en-IE"/>
        </w:rPr>
        <w:t>.</w:t>
      </w:r>
    </w:p>
    <w:p w14:paraId="52D87472" w14:textId="1CD042D8" w:rsidR="008A5C84" w:rsidRPr="00AC49E1" w:rsidRDefault="00667F61" w:rsidP="008A5C84">
      <w:pPr>
        <w:pStyle w:val="Ref"/>
        <w:ind w:left="0" w:firstLine="0"/>
        <w:rPr>
          <w:lang w:val="en-IE" w:eastAsia="en-AU"/>
        </w:rPr>
      </w:pPr>
      <w:r w:rsidRPr="00882D2B">
        <w:rPr>
          <w:smallCaps/>
          <w:color w:val="222222"/>
          <w:shd w:val="clear" w:color="auto" w:fill="FFFFFF"/>
          <w:lang w:val="en-IE"/>
        </w:rPr>
        <w:t>Guimaraes A.M.S. &amp; Zimpel C.K.</w:t>
      </w:r>
      <w:r w:rsidRPr="00882D2B">
        <w:rPr>
          <w:color w:val="222222"/>
          <w:shd w:val="clear" w:color="auto" w:fill="FFFFFF"/>
          <w:lang w:val="en-IE"/>
        </w:rPr>
        <w:t xml:space="preserve"> </w:t>
      </w:r>
      <w:r w:rsidR="008A5C84" w:rsidRPr="00882D2B">
        <w:rPr>
          <w:color w:val="222222"/>
          <w:shd w:val="clear" w:color="auto" w:fill="FFFFFF"/>
          <w:lang w:val="en-IE"/>
        </w:rPr>
        <w:t>(2020)</w:t>
      </w:r>
      <w:r w:rsidRPr="00882D2B">
        <w:rPr>
          <w:color w:val="222222"/>
          <w:shd w:val="clear" w:color="auto" w:fill="FFFFFF"/>
          <w:lang w:val="en-IE"/>
        </w:rPr>
        <w:t>.</w:t>
      </w:r>
      <w:r w:rsidR="008A5C84" w:rsidRPr="00882D2B">
        <w:rPr>
          <w:color w:val="222222"/>
          <w:shd w:val="clear" w:color="auto" w:fill="FFFFFF"/>
          <w:lang w:val="en-IE"/>
        </w:rPr>
        <w:t xml:space="preserve"> </w:t>
      </w:r>
      <w:r w:rsidR="008A5C84" w:rsidRPr="00882D2B">
        <w:rPr>
          <w:i/>
          <w:iCs/>
          <w:color w:val="222222"/>
          <w:lang w:val="en-IE"/>
        </w:rPr>
        <w:t xml:space="preserve">Mycobacterium </w:t>
      </w:r>
      <w:proofErr w:type="spellStart"/>
      <w:r w:rsidR="008A5C84" w:rsidRPr="00882D2B">
        <w:rPr>
          <w:i/>
          <w:iCs/>
          <w:color w:val="222222"/>
          <w:lang w:val="en-IE"/>
        </w:rPr>
        <w:t>bovis</w:t>
      </w:r>
      <w:proofErr w:type="spellEnd"/>
      <w:r w:rsidR="008A5C84" w:rsidRPr="00882D2B">
        <w:rPr>
          <w:color w:val="222222"/>
          <w:shd w:val="clear" w:color="auto" w:fill="FFFFFF"/>
          <w:lang w:val="en-IE"/>
        </w:rPr>
        <w:t>: From Genotyping to Genome Sequencing.</w:t>
      </w:r>
      <w:r w:rsidRPr="00882D2B">
        <w:rPr>
          <w:color w:val="222222"/>
          <w:shd w:val="clear" w:color="auto" w:fill="FFFFFF"/>
          <w:lang w:val="en-IE"/>
        </w:rPr>
        <w:t xml:space="preserve"> </w:t>
      </w:r>
      <w:r w:rsidR="008A5C84" w:rsidRPr="00AC49E1">
        <w:rPr>
          <w:i/>
          <w:iCs/>
          <w:color w:val="222222"/>
          <w:lang w:val="en-IE"/>
        </w:rPr>
        <w:t>Microorganisms</w:t>
      </w:r>
      <w:r w:rsidRPr="00AC49E1">
        <w:rPr>
          <w:i/>
          <w:iCs/>
          <w:color w:val="222222"/>
          <w:lang w:val="en-IE"/>
        </w:rPr>
        <w:t>,</w:t>
      </w:r>
      <w:r w:rsidR="00140119" w:rsidRPr="00AC49E1">
        <w:rPr>
          <w:color w:val="222222"/>
          <w:shd w:val="clear" w:color="auto" w:fill="FFFFFF"/>
          <w:lang w:val="en-IE"/>
        </w:rPr>
        <w:t xml:space="preserve"> </w:t>
      </w:r>
      <w:r w:rsidR="008A5C84" w:rsidRPr="00AC49E1">
        <w:rPr>
          <w:b/>
          <w:iCs/>
          <w:color w:val="222222"/>
          <w:lang w:val="en-IE"/>
        </w:rPr>
        <w:t>8</w:t>
      </w:r>
      <w:r w:rsidR="008A5C84" w:rsidRPr="00AC49E1">
        <w:rPr>
          <w:b/>
          <w:color w:val="222222"/>
          <w:shd w:val="clear" w:color="auto" w:fill="FFFFFF"/>
          <w:lang w:val="en-IE"/>
        </w:rPr>
        <w:t>,</w:t>
      </w:r>
      <w:r w:rsidR="008A5C84" w:rsidRPr="00AC49E1">
        <w:rPr>
          <w:color w:val="222222"/>
          <w:shd w:val="clear" w:color="auto" w:fill="FFFFFF"/>
          <w:lang w:val="en-IE"/>
        </w:rPr>
        <w:t xml:space="preserve"> 667. https://doi.org/10.3390/microorganisms8050667</w:t>
      </w:r>
    </w:p>
    <w:p w14:paraId="57D6D0FA" w14:textId="77777777" w:rsidR="00B112EF" w:rsidRPr="00B112EF" w:rsidRDefault="00B112EF" w:rsidP="00B112EF">
      <w:pPr>
        <w:pStyle w:val="Ref"/>
        <w:ind w:left="0" w:firstLine="0"/>
        <w:rPr>
          <w:lang w:val="nl-NL"/>
        </w:rPr>
      </w:pPr>
      <w:r w:rsidRPr="00AC49E1">
        <w:rPr>
          <w:smallCaps/>
          <w:color w:val="222222"/>
          <w:shd w:val="clear" w:color="auto" w:fill="FFFFFF"/>
          <w:lang w:val="en-IE"/>
        </w:rPr>
        <w:t xml:space="preserve">Infantes-Lorenzo J.A., Moreno I., Roy A., </w:t>
      </w:r>
      <w:proofErr w:type="spellStart"/>
      <w:r w:rsidRPr="00AC49E1">
        <w:rPr>
          <w:smallCaps/>
          <w:color w:val="222222"/>
          <w:shd w:val="clear" w:color="auto" w:fill="FFFFFF"/>
          <w:lang w:val="en-IE"/>
        </w:rPr>
        <w:t>Risalde</w:t>
      </w:r>
      <w:proofErr w:type="spellEnd"/>
      <w:r w:rsidRPr="00AC49E1">
        <w:rPr>
          <w:smallCaps/>
          <w:color w:val="222222"/>
          <w:shd w:val="clear" w:color="auto" w:fill="FFFFFF"/>
          <w:lang w:val="en-IE"/>
        </w:rPr>
        <w:t xml:space="preserve"> M.A., </w:t>
      </w:r>
      <w:proofErr w:type="spellStart"/>
      <w:r w:rsidRPr="00AC49E1">
        <w:rPr>
          <w:smallCaps/>
          <w:color w:val="222222"/>
          <w:shd w:val="clear" w:color="auto" w:fill="FFFFFF"/>
          <w:lang w:val="en-IE"/>
        </w:rPr>
        <w:t>Balseiro</w:t>
      </w:r>
      <w:proofErr w:type="spellEnd"/>
      <w:r w:rsidRPr="00AC49E1">
        <w:rPr>
          <w:smallCaps/>
          <w:color w:val="222222"/>
          <w:shd w:val="clear" w:color="auto" w:fill="FFFFFF"/>
          <w:lang w:val="en-IE"/>
        </w:rPr>
        <w:t xml:space="preserve"> A., de Juan L., Romero B., Bezos J., Puentes E., </w:t>
      </w:r>
      <w:proofErr w:type="spellStart"/>
      <w:r w:rsidRPr="00AC49E1">
        <w:rPr>
          <w:smallCaps/>
          <w:color w:val="222222"/>
          <w:shd w:val="clear" w:color="auto" w:fill="FFFFFF"/>
          <w:lang w:val="en-IE"/>
        </w:rPr>
        <w:t>Akerstedt</w:t>
      </w:r>
      <w:proofErr w:type="spellEnd"/>
      <w:r w:rsidRPr="00AC49E1">
        <w:rPr>
          <w:smallCaps/>
          <w:color w:val="222222"/>
          <w:shd w:val="clear" w:color="auto" w:fill="FFFFFF"/>
          <w:lang w:val="en-IE"/>
        </w:rPr>
        <w:t xml:space="preserve"> J., </w:t>
      </w:r>
      <w:proofErr w:type="spellStart"/>
      <w:r w:rsidRPr="00AC49E1">
        <w:rPr>
          <w:smallCaps/>
          <w:color w:val="222222"/>
          <w:shd w:val="clear" w:color="auto" w:fill="FFFFFF"/>
          <w:lang w:val="en-IE"/>
        </w:rPr>
        <w:t>Tessema</w:t>
      </w:r>
      <w:proofErr w:type="spellEnd"/>
      <w:r w:rsidRPr="00AC49E1">
        <w:rPr>
          <w:smallCaps/>
          <w:color w:val="222222"/>
          <w:shd w:val="clear" w:color="auto" w:fill="FFFFFF"/>
          <w:lang w:val="en-IE"/>
        </w:rPr>
        <w:t xml:space="preserve"> G.T., </w:t>
      </w:r>
      <w:proofErr w:type="spellStart"/>
      <w:r w:rsidRPr="00AC49E1">
        <w:rPr>
          <w:smallCaps/>
          <w:color w:val="222222"/>
          <w:shd w:val="clear" w:color="auto" w:fill="FFFFFF"/>
          <w:lang w:val="en-IE"/>
        </w:rPr>
        <w:t>Gortázar</w:t>
      </w:r>
      <w:proofErr w:type="spellEnd"/>
      <w:r w:rsidRPr="00AC49E1">
        <w:rPr>
          <w:smallCaps/>
          <w:color w:val="222222"/>
          <w:shd w:val="clear" w:color="auto" w:fill="FFFFFF"/>
          <w:lang w:val="en-IE"/>
        </w:rPr>
        <w:t xml:space="preserve"> C., Domínguez L. &amp; Domínguez M. </w:t>
      </w:r>
      <w:r w:rsidRPr="00AC49E1">
        <w:rPr>
          <w:lang w:val="en-IE"/>
        </w:rPr>
        <w:t xml:space="preserve">(2019). </w:t>
      </w:r>
      <w:r w:rsidRPr="00B112EF">
        <w:t xml:space="preserve">Specificity of serological test for detection of tuberculosis in cattle, goats, sheep and pigs under different epidemiological situations. </w:t>
      </w:r>
      <w:r w:rsidRPr="00B112EF">
        <w:rPr>
          <w:i/>
          <w:iCs/>
          <w:lang w:val="nl-NL"/>
        </w:rPr>
        <w:t>BMC Vet. Res</w:t>
      </w:r>
      <w:r w:rsidRPr="00B112EF">
        <w:rPr>
          <w:lang w:val="nl-NL"/>
        </w:rPr>
        <w:t xml:space="preserve">., </w:t>
      </w:r>
      <w:r w:rsidRPr="00B112EF">
        <w:rPr>
          <w:b/>
          <w:bCs/>
          <w:lang w:val="nl-NL"/>
        </w:rPr>
        <w:t>15</w:t>
      </w:r>
      <w:r w:rsidRPr="00B112EF">
        <w:rPr>
          <w:lang w:val="nl-NL"/>
        </w:rPr>
        <w:t>, 70.</w:t>
      </w:r>
    </w:p>
    <w:p w14:paraId="4E1D5082" w14:textId="1A906B42" w:rsidR="00275DEA" w:rsidRPr="00A00CF5" w:rsidRDefault="00275DEA" w:rsidP="00275DEA">
      <w:pPr>
        <w:pStyle w:val="Ref"/>
        <w:ind w:left="0" w:firstLine="0"/>
        <w:rPr>
          <w:lang w:val="es-SV"/>
        </w:rPr>
      </w:pPr>
      <w:r w:rsidRPr="00882D2B">
        <w:rPr>
          <w:smallCaps/>
          <w:lang w:val="nl-NL"/>
        </w:rPr>
        <w:t>Kamerbeek J., Schouls L., Kolk A., Van Agterveld M., Van Soolingen D., Kuijper S., Bunschoten A., Molhuizen H., Shaw R., Goyal M. &amp; Van Embden J.</w:t>
      </w:r>
      <w:r w:rsidRPr="00882D2B">
        <w:rPr>
          <w:lang w:val="nl-NL"/>
        </w:rPr>
        <w:t xml:space="preserve"> (1997). </w:t>
      </w:r>
      <w:r w:rsidRPr="00882D2B">
        <w:rPr>
          <w:lang w:val="en-IE"/>
        </w:rPr>
        <w:t xml:space="preserve">Simultaneous detection and strain differentiation of </w:t>
      </w:r>
      <w:r w:rsidRPr="00882D2B">
        <w:rPr>
          <w:i/>
          <w:iCs/>
          <w:lang w:val="en-IE"/>
        </w:rPr>
        <w:t>Mycobacterium tuberculosis</w:t>
      </w:r>
      <w:r w:rsidRPr="00882D2B">
        <w:rPr>
          <w:lang w:val="en-IE"/>
        </w:rPr>
        <w:t xml:space="preserve"> for diagnosis and epidemiology. </w:t>
      </w:r>
      <w:r w:rsidRPr="00A00CF5">
        <w:rPr>
          <w:i/>
          <w:iCs/>
          <w:lang w:val="es-SV"/>
        </w:rPr>
        <w:t xml:space="preserve">J. Clin. </w:t>
      </w:r>
      <w:proofErr w:type="spellStart"/>
      <w:r w:rsidRPr="00A00CF5">
        <w:rPr>
          <w:i/>
          <w:iCs/>
          <w:lang w:val="es-SV"/>
        </w:rPr>
        <w:t>Microbiol</w:t>
      </w:r>
      <w:proofErr w:type="spellEnd"/>
      <w:r w:rsidRPr="00A00CF5">
        <w:rPr>
          <w:lang w:val="es-SV"/>
        </w:rPr>
        <w:t xml:space="preserve">., </w:t>
      </w:r>
      <w:r w:rsidRPr="00A00CF5">
        <w:rPr>
          <w:b/>
          <w:bCs/>
          <w:lang w:val="es-SV"/>
        </w:rPr>
        <w:t>35</w:t>
      </w:r>
      <w:r w:rsidRPr="00A00CF5">
        <w:rPr>
          <w:lang w:val="es-SV"/>
        </w:rPr>
        <w:t>, 907–914.</w:t>
      </w:r>
    </w:p>
    <w:p w14:paraId="6E8EA398" w14:textId="49FF188B" w:rsidR="00E37849" w:rsidRPr="009D5316" w:rsidRDefault="00E37849" w:rsidP="009D5316">
      <w:pPr>
        <w:pStyle w:val="Ref"/>
        <w:ind w:left="0" w:firstLine="0"/>
      </w:pPr>
      <w:r w:rsidRPr="001C7FDB">
        <w:rPr>
          <w:smallCaps/>
          <w:shd w:val="clear" w:color="auto" w:fill="FFFFFF"/>
          <w:lang w:val="es-ES"/>
        </w:rPr>
        <w:t>Lorente-Leal</w:t>
      </w:r>
      <w:r w:rsidR="001C7FDB" w:rsidRPr="001C7FDB">
        <w:rPr>
          <w:smallCaps/>
          <w:shd w:val="clear" w:color="auto" w:fill="FFFFFF"/>
          <w:lang w:val="es-ES"/>
        </w:rPr>
        <w:t xml:space="preserve"> V.</w:t>
      </w:r>
      <w:r w:rsidRPr="00241D91">
        <w:rPr>
          <w:smallCaps/>
          <w:color w:val="020202"/>
          <w:shd w:val="clear" w:color="auto" w:fill="FFFFFF"/>
          <w:lang w:val="es-ES"/>
        </w:rPr>
        <w:t xml:space="preserve">, </w:t>
      </w:r>
      <w:proofErr w:type="spellStart"/>
      <w:r w:rsidRPr="001C7FDB">
        <w:rPr>
          <w:smallCaps/>
          <w:shd w:val="clear" w:color="auto" w:fill="FFFFFF"/>
          <w:lang w:val="es-ES"/>
        </w:rPr>
        <w:t>Liandris</w:t>
      </w:r>
      <w:proofErr w:type="spellEnd"/>
      <w:r w:rsidRPr="00241D91">
        <w:rPr>
          <w:smallCaps/>
          <w:lang w:val="es-ES"/>
        </w:rPr>
        <w:t xml:space="preserve"> E.</w:t>
      </w:r>
      <w:r w:rsidRPr="00241D91">
        <w:rPr>
          <w:smallCaps/>
          <w:color w:val="020202"/>
          <w:shd w:val="clear" w:color="auto" w:fill="FFFFFF"/>
          <w:lang w:val="es-ES"/>
        </w:rPr>
        <w:t xml:space="preserve">, </w:t>
      </w:r>
      <w:r w:rsidRPr="001C7FDB">
        <w:rPr>
          <w:smallCaps/>
          <w:shd w:val="clear" w:color="auto" w:fill="FFFFFF"/>
          <w:lang w:val="es-ES"/>
        </w:rPr>
        <w:t>Castellanos</w:t>
      </w:r>
      <w:r w:rsidRPr="00241D91">
        <w:rPr>
          <w:smallCaps/>
          <w:lang w:val="es-ES"/>
        </w:rPr>
        <w:t xml:space="preserve"> E.</w:t>
      </w:r>
      <w:r w:rsidRPr="00241D91">
        <w:rPr>
          <w:smallCaps/>
          <w:color w:val="020202"/>
          <w:shd w:val="clear" w:color="auto" w:fill="FFFFFF"/>
          <w:lang w:val="es-ES"/>
        </w:rPr>
        <w:t xml:space="preserve">, </w:t>
      </w:r>
      <w:r w:rsidRPr="001C7FDB">
        <w:rPr>
          <w:smallCaps/>
          <w:shd w:val="clear" w:color="auto" w:fill="FFFFFF"/>
          <w:lang w:val="es-ES"/>
        </w:rPr>
        <w:t>Bezos</w:t>
      </w:r>
      <w:r w:rsidRPr="00241D91">
        <w:rPr>
          <w:lang w:val="es-ES"/>
        </w:rPr>
        <w:t xml:space="preserve"> </w:t>
      </w:r>
      <w:r w:rsidRPr="00241D91">
        <w:rPr>
          <w:smallCaps/>
          <w:lang w:val="es-ES"/>
        </w:rPr>
        <w:t>J.</w:t>
      </w:r>
      <w:r w:rsidRPr="00241D91">
        <w:rPr>
          <w:smallCaps/>
          <w:color w:val="020202"/>
          <w:shd w:val="clear" w:color="auto" w:fill="FFFFFF"/>
          <w:lang w:val="es-ES"/>
        </w:rPr>
        <w:t xml:space="preserve">, </w:t>
      </w:r>
      <w:r w:rsidRPr="001C7FDB">
        <w:rPr>
          <w:smallCaps/>
          <w:shd w:val="clear" w:color="auto" w:fill="FFFFFF"/>
          <w:lang w:val="es-ES"/>
        </w:rPr>
        <w:t>Domínguez</w:t>
      </w:r>
      <w:r w:rsidRPr="00241D91">
        <w:rPr>
          <w:smallCaps/>
          <w:lang w:val="es-ES"/>
        </w:rPr>
        <w:t xml:space="preserve"> L.</w:t>
      </w:r>
      <w:r w:rsidRPr="00241D91">
        <w:rPr>
          <w:smallCaps/>
          <w:color w:val="020202"/>
          <w:shd w:val="clear" w:color="auto" w:fill="FFFFFF"/>
          <w:lang w:val="es-ES"/>
        </w:rPr>
        <w:t>, de Juan</w:t>
      </w:r>
      <w:r w:rsidRPr="00241D91">
        <w:rPr>
          <w:smallCaps/>
          <w:color w:val="020202"/>
          <w:shd w:val="clear" w:color="auto" w:fill="FFFFFF"/>
          <w:vertAlign w:val="superscript"/>
          <w:lang w:val="es-ES"/>
        </w:rPr>
        <w:t xml:space="preserve"> </w:t>
      </w:r>
      <w:r w:rsidRPr="00241D91">
        <w:rPr>
          <w:smallCaps/>
          <w:color w:val="020202"/>
          <w:shd w:val="clear" w:color="auto" w:fill="FFFFFF"/>
          <w:lang w:val="es-ES"/>
        </w:rPr>
        <w:t>L.</w:t>
      </w:r>
      <w:r w:rsidRPr="00241D91">
        <w:rPr>
          <w:smallCaps/>
          <w:lang w:val="es-ES"/>
        </w:rPr>
        <w:t>&amp;</w:t>
      </w:r>
      <w:r w:rsidRPr="00241D91">
        <w:rPr>
          <w:smallCaps/>
          <w:noProof/>
          <w:color w:val="020202"/>
          <w:shd w:val="clear" w:color="auto" w:fill="FFFFFF"/>
          <w:lang w:val="es-ES"/>
        </w:rPr>
        <w:t xml:space="preserve"> </w:t>
      </w:r>
      <w:r w:rsidRPr="001C7FDB">
        <w:rPr>
          <w:smallCaps/>
          <w:shd w:val="clear" w:color="auto" w:fill="FFFFFF"/>
          <w:lang w:val="es-ES"/>
        </w:rPr>
        <w:t>Romero</w:t>
      </w:r>
      <w:r w:rsidRPr="00241D91">
        <w:rPr>
          <w:smallCaps/>
          <w:color w:val="020202"/>
          <w:shd w:val="clear" w:color="auto" w:fill="FFFFFF"/>
          <w:vertAlign w:val="superscript"/>
          <w:lang w:val="es-ES"/>
        </w:rPr>
        <w:t xml:space="preserve"> </w:t>
      </w:r>
      <w:r w:rsidRPr="00241D91">
        <w:rPr>
          <w:smallCaps/>
          <w:color w:val="020202"/>
          <w:shd w:val="clear" w:color="auto" w:fill="FFFFFF"/>
          <w:lang w:val="es-ES"/>
        </w:rPr>
        <w:t>B. (</w:t>
      </w:r>
      <w:r w:rsidRPr="00241D91">
        <w:rPr>
          <w:lang w:val="es-ES"/>
        </w:rPr>
        <w:t xml:space="preserve">2019). </w:t>
      </w:r>
      <w:r>
        <w:rPr>
          <w:lang w:val="en-IE"/>
        </w:rPr>
        <w:t xml:space="preserve">Validation of a Real-Time PCR for the Detection of </w:t>
      </w:r>
      <w:r w:rsidRPr="00241D91">
        <w:rPr>
          <w:i/>
          <w:iCs/>
          <w:lang w:val="en-IE"/>
        </w:rPr>
        <w:t>Mycobacterium tuberculosis</w:t>
      </w:r>
      <w:r>
        <w:rPr>
          <w:lang w:val="en-IE"/>
        </w:rPr>
        <w:t xml:space="preserve"> Complex Members in Bovine Tissue Samples. </w:t>
      </w:r>
      <w:r w:rsidRPr="0057558D">
        <w:rPr>
          <w:i/>
          <w:iCs/>
        </w:rPr>
        <w:t>Front. Vet. Sci.,</w:t>
      </w:r>
      <w:r w:rsidRPr="009D5316">
        <w:t xml:space="preserve"> 6, 61. https://doi.org/10.3389/fvets.2019.00061.</w:t>
      </w:r>
    </w:p>
    <w:p w14:paraId="3AD5A9F6" w14:textId="77777777" w:rsidR="008B08FD" w:rsidRPr="00882D2B" w:rsidRDefault="008B08FD" w:rsidP="008B08FD">
      <w:pPr>
        <w:pStyle w:val="Ref"/>
        <w:ind w:left="0" w:firstLine="0"/>
        <w:rPr>
          <w:lang w:val="en-IE"/>
        </w:rPr>
      </w:pPr>
      <w:proofErr w:type="spellStart"/>
      <w:r w:rsidRPr="00882D2B">
        <w:rPr>
          <w:smallCaps/>
          <w:lang w:val="en-IE"/>
        </w:rPr>
        <w:t>Lyashchenko</w:t>
      </w:r>
      <w:proofErr w:type="spellEnd"/>
      <w:r w:rsidRPr="00882D2B">
        <w:rPr>
          <w:smallCaps/>
          <w:lang w:val="en-IE"/>
        </w:rPr>
        <w:t xml:space="preserve"> K.P., Greenwald R., Esfandiari J., Chambers M.A., Vicente J., </w:t>
      </w:r>
      <w:proofErr w:type="spellStart"/>
      <w:r w:rsidRPr="00882D2B">
        <w:rPr>
          <w:smallCaps/>
          <w:lang w:val="en-IE"/>
        </w:rPr>
        <w:t>Gortazar</w:t>
      </w:r>
      <w:proofErr w:type="spellEnd"/>
      <w:r w:rsidRPr="00882D2B">
        <w:rPr>
          <w:smallCaps/>
          <w:lang w:val="en-IE"/>
        </w:rPr>
        <w:t xml:space="preserve"> C., Santos N., Correia-Neves M., Buddle B.M., Jackson R., O’Brien D.J., Schmitt S., Palmer M.V., Delahay R.J. &amp; Waters W.R</w:t>
      </w:r>
      <w:r w:rsidRPr="00882D2B">
        <w:rPr>
          <w:lang w:val="en-IE"/>
        </w:rPr>
        <w:t xml:space="preserve">. (2008). Animal-side serologic assay for rapid detection of </w:t>
      </w:r>
      <w:r w:rsidRPr="00882D2B">
        <w:rPr>
          <w:i/>
          <w:iCs/>
          <w:lang w:val="en-IE"/>
        </w:rPr>
        <w:t xml:space="preserve">Mycobacterium </w:t>
      </w:r>
      <w:proofErr w:type="spellStart"/>
      <w:r w:rsidRPr="00882D2B">
        <w:rPr>
          <w:i/>
          <w:iCs/>
          <w:lang w:val="en-IE"/>
        </w:rPr>
        <w:t>bovis</w:t>
      </w:r>
      <w:proofErr w:type="spellEnd"/>
      <w:r w:rsidRPr="00882D2B">
        <w:rPr>
          <w:lang w:val="en-IE"/>
        </w:rPr>
        <w:t xml:space="preserve"> infection in multiple species of free-ranging wildlife. </w:t>
      </w:r>
      <w:r w:rsidRPr="00882D2B">
        <w:rPr>
          <w:i/>
          <w:iCs/>
          <w:lang w:val="en-IE"/>
        </w:rPr>
        <w:t xml:space="preserve">Vet. </w:t>
      </w:r>
      <w:proofErr w:type="spellStart"/>
      <w:r w:rsidRPr="00882D2B">
        <w:rPr>
          <w:i/>
          <w:iCs/>
          <w:lang w:val="en-IE"/>
        </w:rPr>
        <w:t>Microbiol</w:t>
      </w:r>
      <w:proofErr w:type="spellEnd"/>
      <w:r w:rsidRPr="00882D2B">
        <w:rPr>
          <w:lang w:val="en-IE"/>
        </w:rPr>
        <w:t xml:space="preserve">., </w:t>
      </w:r>
      <w:r w:rsidRPr="00882D2B">
        <w:rPr>
          <w:b/>
          <w:bCs/>
          <w:lang w:val="en-IE"/>
        </w:rPr>
        <w:t>132</w:t>
      </w:r>
      <w:r w:rsidRPr="00882D2B">
        <w:rPr>
          <w:lang w:val="en-IE"/>
        </w:rPr>
        <w:t>, 283–292.</w:t>
      </w:r>
    </w:p>
    <w:p w14:paraId="0BBC9627" w14:textId="757137D3" w:rsidR="00275DEA" w:rsidRPr="00CE7A6F" w:rsidRDefault="00275DEA" w:rsidP="00275DEA">
      <w:pPr>
        <w:pStyle w:val="Ref"/>
        <w:ind w:left="0" w:firstLine="0"/>
        <w:rPr>
          <w:lang w:val="de-DE"/>
        </w:rPr>
      </w:pPr>
      <w:r w:rsidRPr="00882D2B">
        <w:rPr>
          <w:smallCaps/>
          <w:lang w:val="en-IE"/>
        </w:rPr>
        <w:t xml:space="preserve">Martin </w:t>
      </w:r>
      <w:r w:rsidR="008B08FD" w:rsidRPr="00882D2B">
        <w:rPr>
          <w:smallCaps/>
          <w:lang w:val="en-IE"/>
        </w:rPr>
        <w:t>S.W</w:t>
      </w:r>
      <w:r w:rsidRPr="00882D2B">
        <w:rPr>
          <w:smallCaps/>
          <w:lang w:val="en-IE"/>
        </w:rPr>
        <w:t xml:space="preserve">., </w:t>
      </w:r>
      <w:r w:rsidR="008B08FD" w:rsidRPr="00882D2B">
        <w:rPr>
          <w:smallCaps/>
          <w:lang w:val="en-IE"/>
        </w:rPr>
        <w:t>O</w:t>
      </w:r>
      <w:r w:rsidRPr="00882D2B">
        <w:rPr>
          <w:smallCaps/>
          <w:lang w:val="en-IE"/>
        </w:rPr>
        <w:t>’</w:t>
      </w:r>
      <w:r w:rsidR="00667F61" w:rsidRPr="00882D2B">
        <w:rPr>
          <w:smallCaps/>
          <w:lang w:val="en-IE"/>
        </w:rPr>
        <w:t>K</w:t>
      </w:r>
      <w:r w:rsidRPr="00882D2B">
        <w:rPr>
          <w:smallCaps/>
          <w:lang w:val="en-IE"/>
        </w:rPr>
        <w:t xml:space="preserve">eeffe </w:t>
      </w:r>
      <w:r w:rsidR="008B08FD" w:rsidRPr="00882D2B">
        <w:rPr>
          <w:smallCaps/>
          <w:lang w:val="en-IE"/>
        </w:rPr>
        <w:t>J</w:t>
      </w:r>
      <w:r w:rsidRPr="00882D2B">
        <w:rPr>
          <w:smallCaps/>
          <w:lang w:val="en-IE"/>
        </w:rPr>
        <w:t xml:space="preserve">., </w:t>
      </w:r>
      <w:r w:rsidR="00667F61" w:rsidRPr="00882D2B">
        <w:rPr>
          <w:smallCaps/>
          <w:lang w:val="en-IE"/>
        </w:rPr>
        <w:t>B</w:t>
      </w:r>
      <w:r w:rsidRPr="00882D2B">
        <w:rPr>
          <w:smallCaps/>
          <w:lang w:val="en-IE"/>
        </w:rPr>
        <w:t xml:space="preserve">yrne </w:t>
      </w:r>
      <w:r w:rsidR="008B08FD" w:rsidRPr="00882D2B">
        <w:rPr>
          <w:smallCaps/>
          <w:lang w:val="en-IE"/>
        </w:rPr>
        <w:t>A.W</w:t>
      </w:r>
      <w:r w:rsidRPr="00882D2B">
        <w:rPr>
          <w:smallCaps/>
          <w:lang w:val="en-IE"/>
        </w:rPr>
        <w:t xml:space="preserve">., </w:t>
      </w:r>
      <w:r w:rsidR="00667F61" w:rsidRPr="00882D2B">
        <w:rPr>
          <w:smallCaps/>
          <w:lang w:val="en-IE"/>
        </w:rPr>
        <w:t>R</w:t>
      </w:r>
      <w:r w:rsidRPr="00882D2B">
        <w:rPr>
          <w:smallCaps/>
          <w:lang w:val="en-IE"/>
        </w:rPr>
        <w:t xml:space="preserve">osen </w:t>
      </w:r>
      <w:r w:rsidR="008B08FD" w:rsidRPr="00882D2B">
        <w:rPr>
          <w:smallCaps/>
          <w:lang w:val="en-IE"/>
        </w:rPr>
        <w:t>L.E</w:t>
      </w:r>
      <w:r w:rsidRPr="00882D2B">
        <w:rPr>
          <w:smallCaps/>
          <w:lang w:val="en-IE"/>
        </w:rPr>
        <w:t xml:space="preserve">., </w:t>
      </w:r>
      <w:r w:rsidR="00667F61" w:rsidRPr="00882D2B">
        <w:rPr>
          <w:smallCaps/>
          <w:lang w:val="en-IE"/>
        </w:rPr>
        <w:t>W</w:t>
      </w:r>
      <w:r w:rsidRPr="00882D2B">
        <w:rPr>
          <w:smallCaps/>
          <w:lang w:val="en-IE"/>
        </w:rPr>
        <w:t xml:space="preserve">hite </w:t>
      </w:r>
      <w:r w:rsidR="008B08FD" w:rsidRPr="00882D2B">
        <w:rPr>
          <w:smallCaps/>
          <w:lang w:val="en-IE"/>
        </w:rPr>
        <w:t>P.W</w:t>
      </w:r>
      <w:r w:rsidRPr="00882D2B">
        <w:rPr>
          <w:smallCaps/>
          <w:lang w:val="en-IE"/>
        </w:rPr>
        <w:t>.</w:t>
      </w:r>
      <w:r w:rsidR="008B08FD" w:rsidRPr="00882D2B">
        <w:rPr>
          <w:smallCaps/>
          <w:lang w:val="en-IE"/>
        </w:rPr>
        <w:t xml:space="preserve"> &amp;</w:t>
      </w:r>
      <w:r w:rsidRPr="00882D2B">
        <w:rPr>
          <w:smallCaps/>
          <w:lang w:val="en-IE"/>
        </w:rPr>
        <w:t xml:space="preserve"> </w:t>
      </w:r>
      <w:r w:rsidR="008B08FD" w:rsidRPr="00882D2B">
        <w:rPr>
          <w:smallCaps/>
          <w:lang w:val="en-IE"/>
        </w:rPr>
        <w:t>M</w:t>
      </w:r>
      <w:r w:rsidRPr="00882D2B">
        <w:rPr>
          <w:smallCaps/>
          <w:lang w:val="en-IE"/>
        </w:rPr>
        <w:t>c</w:t>
      </w:r>
      <w:r w:rsidR="008B08FD" w:rsidRPr="00882D2B">
        <w:rPr>
          <w:smallCaps/>
          <w:lang w:val="en-IE"/>
        </w:rPr>
        <w:t>G</w:t>
      </w:r>
      <w:r w:rsidRPr="00882D2B">
        <w:rPr>
          <w:smallCaps/>
          <w:lang w:val="en-IE"/>
        </w:rPr>
        <w:t xml:space="preserve">rath </w:t>
      </w:r>
      <w:r w:rsidR="008B08FD" w:rsidRPr="00882D2B">
        <w:rPr>
          <w:smallCaps/>
          <w:lang w:val="en-IE"/>
        </w:rPr>
        <w:t>G</w:t>
      </w:r>
      <w:r w:rsidRPr="00882D2B">
        <w:rPr>
          <w:lang w:val="en-IE"/>
        </w:rPr>
        <w:t>. (2020)</w:t>
      </w:r>
      <w:r w:rsidR="008B08FD" w:rsidRPr="00882D2B">
        <w:rPr>
          <w:lang w:val="en-IE"/>
        </w:rPr>
        <w:t>.</w:t>
      </w:r>
      <w:r w:rsidRPr="00882D2B">
        <w:rPr>
          <w:lang w:val="en-IE"/>
        </w:rPr>
        <w:t xml:space="preserve"> Is moving from targeted culling to BCG-vaccination of badgers (</w:t>
      </w:r>
      <w:r w:rsidRPr="00882D2B">
        <w:rPr>
          <w:i/>
          <w:lang w:val="en-IE"/>
        </w:rPr>
        <w:t>Meles meles</w:t>
      </w:r>
      <w:r w:rsidRPr="00882D2B">
        <w:rPr>
          <w:lang w:val="en-IE"/>
        </w:rPr>
        <w:t>) associated with an unacceptable increased incidence of cattle herd tuberculosis in the Republic of Ireland? A practical non-inferiority wildlife intervention study in the Republic of Ireland (2011</w:t>
      </w:r>
      <w:r w:rsidR="00667F61" w:rsidRPr="00882D2B">
        <w:rPr>
          <w:lang w:val="en-IE"/>
        </w:rPr>
        <w:t>–</w:t>
      </w:r>
      <w:r w:rsidRPr="00882D2B">
        <w:rPr>
          <w:lang w:val="en-IE"/>
        </w:rPr>
        <w:t>2017).</w:t>
      </w:r>
      <w:r w:rsidR="00140119" w:rsidRPr="00882D2B">
        <w:rPr>
          <w:lang w:val="en-IE"/>
        </w:rPr>
        <w:t xml:space="preserve"> </w:t>
      </w:r>
      <w:r w:rsidRPr="00CE7A6F">
        <w:rPr>
          <w:i/>
          <w:iCs/>
          <w:lang w:val="de-DE"/>
        </w:rPr>
        <w:t>Prev</w:t>
      </w:r>
      <w:r w:rsidR="00667F61" w:rsidRPr="00CE7A6F">
        <w:rPr>
          <w:i/>
          <w:iCs/>
          <w:lang w:val="de-DE"/>
        </w:rPr>
        <w:t>.</w:t>
      </w:r>
      <w:r w:rsidRPr="00CE7A6F">
        <w:rPr>
          <w:i/>
          <w:iCs/>
          <w:lang w:val="de-DE"/>
        </w:rPr>
        <w:t xml:space="preserve"> Vet</w:t>
      </w:r>
      <w:r w:rsidR="00667F61" w:rsidRPr="00CE7A6F">
        <w:rPr>
          <w:i/>
          <w:iCs/>
          <w:lang w:val="de-DE"/>
        </w:rPr>
        <w:t>.</w:t>
      </w:r>
      <w:r w:rsidRPr="00CE7A6F">
        <w:rPr>
          <w:i/>
          <w:iCs/>
          <w:lang w:val="de-DE"/>
        </w:rPr>
        <w:t xml:space="preserve"> Med</w:t>
      </w:r>
      <w:r w:rsidR="00667F61" w:rsidRPr="00CE7A6F">
        <w:rPr>
          <w:i/>
          <w:iCs/>
          <w:lang w:val="de-DE"/>
        </w:rPr>
        <w:t>.</w:t>
      </w:r>
      <w:r w:rsidRPr="00CE7A6F">
        <w:rPr>
          <w:lang w:val="de-DE"/>
        </w:rPr>
        <w:t xml:space="preserve">, </w:t>
      </w:r>
      <w:r w:rsidRPr="00CE7A6F">
        <w:rPr>
          <w:b/>
          <w:bCs/>
          <w:lang w:val="de-DE"/>
        </w:rPr>
        <w:t>179</w:t>
      </w:r>
      <w:r w:rsidRPr="00CE7A6F">
        <w:rPr>
          <w:lang w:val="de-DE"/>
        </w:rPr>
        <w:t>, 105004.</w:t>
      </w:r>
    </w:p>
    <w:p w14:paraId="0251F936" w14:textId="7BE0FB34" w:rsidR="00275DEA" w:rsidRPr="00882D2B" w:rsidRDefault="00275DEA" w:rsidP="00275DEA">
      <w:pPr>
        <w:pStyle w:val="11Para"/>
        <w:ind w:left="0"/>
        <w:rPr>
          <w:lang w:val="en-IE"/>
        </w:rPr>
      </w:pPr>
      <w:r w:rsidRPr="00882D2B">
        <w:rPr>
          <w:smallCaps/>
          <w:lang w:val="de-DE"/>
        </w:rPr>
        <w:t>Merker M., Kohl T.A., Niemann S.</w:t>
      </w:r>
      <w:r w:rsidR="00246AE2" w:rsidRPr="00882D2B">
        <w:rPr>
          <w:smallCaps/>
          <w:lang w:val="de-DE"/>
        </w:rPr>
        <w:t xml:space="preserve"> &amp;</w:t>
      </w:r>
      <w:r w:rsidRPr="00882D2B">
        <w:rPr>
          <w:smallCaps/>
          <w:lang w:val="de-DE"/>
        </w:rPr>
        <w:t xml:space="preserve"> Supply P.</w:t>
      </w:r>
      <w:r w:rsidRPr="00882D2B">
        <w:rPr>
          <w:lang w:val="de-DE"/>
        </w:rPr>
        <w:t xml:space="preserve"> (2017)</w:t>
      </w:r>
      <w:r w:rsidR="00246AE2" w:rsidRPr="00882D2B">
        <w:rPr>
          <w:lang w:val="de-DE"/>
        </w:rPr>
        <w:t>.</w:t>
      </w:r>
      <w:r w:rsidRPr="00882D2B">
        <w:rPr>
          <w:lang w:val="de-DE"/>
        </w:rPr>
        <w:t xml:space="preserve"> </w:t>
      </w:r>
      <w:r w:rsidRPr="00882D2B">
        <w:rPr>
          <w:lang w:val="en-IE"/>
        </w:rPr>
        <w:t>The Evolution of Strain Typing in the</w:t>
      </w:r>
      <w:r w:rsidR="00246AE2" w:rsidRPr="00882D2B">
        <w:rPr>
          <w:lang w:val="en-IE"/>
        </w:rPr>
        <w:t xml:space="preserve"> </w:t>
      </w:r>
      <w:r w:rsidRPr="00882D2B">
        <w:rPr>
          <w:i/>
          <w:iCs/>
          <w:lang w:val="en-IE"/>
        </w:rPr>
        <w:t>Mycobacterium tuberculosis</w:t>
      </w:r>
      <w:r w:rsidR="00246AE2" w:rsidRPr="00882D2B">
        <w:rPr>
          <w:lang w:val="en-IE"/>
        </w:rPr>
        <w:t xml:space="preserve"> </w:t>
      </w:r>
      <w:r w:rsidRPr="00882D2B">
        <w:rPr>
          <w:lang w:val="en-IE"/>
        </w:rPr>
        <w:t xml:space="preserve">Complex. </w:t>
      </w:r>
      <w:r w:rsidRPr="00882D2B">
        <w:rPr>
          <w:i/>
          <w:iCs/>
          <w:lang w:val="en-IE"/>
        </w:rPr>
        <w:t>In:</w:t>
      </w:r>
      <w:r w:rsidRPr="00882D2B">
        <w:rPr>
          <w:lang w:val="en-IE"/>
        </w:rPr>
        <w:t xml:space="preserve"> Strain Variation in the Mycobacterium tuberculosis Complex: Its Role in Biology, Epidemiology and Control</w:t>
      </w:r>
      <w:r w:rsidR="00246AE2" w:rsidRPr="00882D2B">
        <w:rPr>
          <w:lang w:val="en-IE"/>
        </w:rPr>
        <w:t xml:space="preserve">. </w:t>
      </w:r>
      <w:r w:rsidRPr="00882D2B">
        <w:rPr>
          <w:lang w:val="en-IE"/>
        </w:rPr>
        <w:t>Advances in Experimental Medicine and Biology, vol</w:t>
      </w:r>
      <w:r w:rsidR="00246AE2" w:rsidRPr="00882D2B">
        <w:rPr>
          <w:lang w:val="en-IE"/>
        </w:rPr>
        <w:t xml:space="preserve">. </w:t>
      </w:r>
      <w:r w:rsidRPr="00882D2B">
        <w:rPr>
          <w:lang w:val="en-IE"/>
        </w:rPr>
        <w:t>1019. Springer, Cham. https://doi.org/10.1007/978-3-319-64371-7_3</w:t>
      </w:r>
    </w:p>
    <w:p w14:paraId="1DD24890" w14:textId="703F42E9" w:rsidR="00275DEA" w:rsidRPr="00882D2B" w:rsidRDefault="00275DEA" w:rsidP="00275DEA">
      <w:pPr>
        <w:pStyle w:val="11Para"/>
        <w:ind w:left="0"/>
        <w:rPr>
          <w:lang w:val="en-IE"/>
        </w:rPr>
      </w:pPr>
      <w:r w:rsidRPr="00882D2B">
        <w:rPr>
          <w:smallCaps/>
          <w:lang w:val="en-IE"/>
        </w:rPr>
        <w:t>Middleton S</w:t>
      </w:r>
      <w:r w:rsidR="00246AE2" w:rsidRPr="00882D2B">
        <w:rPr>
          <w:smallCaps/>
          <w:lang w:val="en-IE"/>
        </w:rPr>
        <w:t>.</w:t>
      </w:r>
      <w:r w:rsidRPr="00882D2B">
        <w:rPr>
          <w:smallCaps/>
          <w:lang w:val="en-IE"/>
        </w:rPr>
        <w:t>, Steinbach S</w:t>
      </w:r>
      <w:r w:rsidR="00246AE2" w:rsidRPr="00882D2B">
        <w:rPr>
          <w:smallCaps/>
          <w:lang w:val="en-IE"/>
        </w:rPr>
        <w:t>.</w:t>
      </w:r>
      <w:r w:rsidRPr="00882D2B">
        <w:rPr>
          <w:smallCaps/>
          <w:lang w:val="en-IE"/>
        </w:rPr>
        <w:t>, Coad M</w:t>
      </w:r>
      <w:r w:rsidR="00246AE2" w:rsidRPr="00882D2B">
        <w:rPr>
          <w:smallCaps/>
          <w:lang w:val="en-IE"/>
        </w:rPr>
        <w:t>.</w:t>
      </w:r>
      <w:r w:rsidRPr="00882D2B">
        <w:rPr>
          <w:smallCaps/>
          <w:lang w:val="en-IE"/>
        </w:rPr>
        <w:t>, McGill K</w:t>
      </w:r>
      <w:r w:rsidR="00246AE2" w:rsidRPr="00882D2B">
        <w:rPr>
          <w:smallCaps/>
          <w:lang w:val="en-IE"/>
        </w:rPr>
        <w:t>.</w:t>
      </w:r>
      <w:r w:rsidRPr="00882D2B">
        <w:rPr>
          <w:smallCaps/>
          <w:lang w:val="en-IE"/>
        </w:rPr>
        <w:t>, Brady C</w:t>
      </w:r>
      <w:r w:rsidR="00246AE2" w:rsidRPr="00882D2B">
        <w:rPr>
          <w:smallCaps/>
          <w:lang w:val="en-IE"/>
        </w:rPr>
        <w:t>.</w:t>
      </w:r>
      <w:r w:rsidRPr="00882D2B">
        <w:rPr>
          <w:smallCaps/>
          <w:lang w:val="en-IE"/>
        </w:rPr>
        <w:t>, Duignan A</w:t>
      </w:r>
      <w:r w:rsidR="00246AE2" w:rsidRPr="00882D2B">
        <w:rPr>
          <w:smallCaps/>
          <w:lang w:val="en-IE"/>
        </w:rPr>
        <w:t>.</w:t>
      </w:r>
      <w:r w:rsidRPr="00882D2B">
        <w:rPr>
          <w:smallCaps/>
          <w:lang w:val="en-IE"/>
        </w:rPr>
        <w:t>, Wiseman J</w:t>
      </w:r>
      <w:r w:rsidR="00246AE2" w:rsidRPr="00882D2B">
        <w:rPr>
          <w:smallCaps/>
          <w:lang w:val="en-IE"/>
        </w:rPr>
        <w:t>.</w:t>
      </w:r>
      <w:r w:rsidRPr="00882D2B">
        <w:rPr>
          <w:smallCaps/>
          <w:lang w:val="en-IE"/>
        </w:rPr>
        <w:t>, Gormley E</w:t>
      </w:r>
      <w:r w:rsidR="00246AE2" w:rsidRPr="00882D2B">
        <w:rPr>
          <w:smallCaps/>
          <w:lang w:val="en-IE"/>
        </w:rPr>
        <w:t>.</w:t>
      </w:r>
      <w:r w:rsidRPr="00882D2B">
        <w:rPr>
          <w:smallCaps/>
          <w:lang w:val="en-IE"/>
        </w:rPr>
        <w:t>, Jones G</w:t>
      </w:r>
      <w:r w:rsidR="00246AE2" w:rsidRPr="00882D2B">
        <w:rPr>
          <w:smallCaps/>
          <w:lang w:val="en-IE"/>
        </w:rPr>
        <w:t>.</w:t>
      </w:r>
      <w:r w:rsidRPr="00882D2B">
        <w:rPr>
          <w:smallCaps/>
          <w:lang w:val="en-IE"/>
        </w:rPr>
        <w:t>J</w:t>
      </w:r>
      <w:r w:rsidR="00246AE2" w:rsidRPr="00882D2B">
        <w:rPr>
          <w:smallCaps/>
          <w:lang w:val="en-IE"/>
        </w:rPr>
        <w:t xml:space="preserve">. &amp; </w:t>
      </w:r>
      <w:proofErr w:type="spellStart"/>
      <w:r w:rsidRPr="00882D2B">
        <w:rPr>
          <w:smallCaps/>
          <w:lang w:val="en-IE"/>
        </w:rPr>
        <w:t>Vordermeier</w:t>
      </w:r>
      <w:proofErr w:type="spellEnd"/>
      <w:r w:rsidRPr="00882D2B">
        <w:rPr>
          <w:smallCaps/>
          <w:lang w:val="en-IE"/>
        </w:rPr>
        <w:t xml:space="preserve"> H</w:t>
      </w:r>
      <w:r w:rsidR="00246AE2" w:rsidRPr="00882D2B">
        <w:rPr>
          <w:smallCaps/>
          <w:lang w:val="en-IE"/>
        </w:rPr>
        <w:t>.</w:t>
      </w:r>
      <w:r w:rsidRPr="00882D2B">
        <w:rPr>
          <w:smallCaps/>
          <w:lang w:val="en-IE"/>
        </w:rPr>
        <w:t>M.</w:t>
      </w:r>
      <w:r w:rsidRPr="00882D2B">
        <w:rPr>
          <w:lang w:val="en-IE"/>
        </w:rPr>
        <w:t xml:space="preserve"> </w:t>
      </w:r>
      <w:r w:rsidR="00246AE2" w:rsidRPr="00882D2B">
        <w:rPr>
          <w:lang w:val="en-IE"/>
        </w:rPr>
        <w:t xml:space="preserve">(2021). </w:t>
      </w:r>
      <w:r w:rsidRPr="00882D2B">
        <w:rPr>
          <w:lang w:val="en-IE"/>
        </w:rPr>
        <w:t>A molecularly defined skin test reagent for the diagnosis of bovine tuberculosis compatible with vaccination against Johne</w:t>
      </w:r>
      <w:r w:rsidR="00246AE2" w:rsidRPr="00882D2B">
        <w:rPr>
          <w:lang w:val="en-IE"/>
        </w:rPr>
        <w:t>’</w:t>
      </w:r>
      <w:r w:rsidRPr="00882D2B">
        <w:rPr>
          <w:lang w:val="en-IE"/>
        </w:rPr>
        <w:t xml:space="preserve">s Disease. </w:t>
      </w:r>
      <w:r w:rsidRPr="00882D2B">
        <w:rPr>
          <w:i/>
          <w:iCs/>
          <w:lang w:val="en-IE"/>
        </w:rPr>
        <w:t>Sci</w:t>
      </w:r>
      <w:r w:rsidR="00246AE2" w:rsidRPr="00882D2B">
        <w:rPr>
          <w:i/>
          <w:iCs/>
          <w:lang w:val="en-IE"/>
        </w:rPr>
        <w:t>.</w:t>
      </w:r>
      <w:r w:rsidRPr="00882D2B">
        <w:rPr>
          <w:i/>
          <w:iCs/>
          <w:lang w:val="en-IE"/>
        </w:rPr>
        <w:t xml:space="preserve"> Rep</w:t>
      </w:r>
      <w:r w:rsidRPr="00882D2B">
        <w:rPr>
          <w:lang w:val="en-IE"/>
        </w:rPr>
        <w:t>.</w:t>
      </w:r>
      <w:r w:rsidR="00246AE2" w:rsidRPr="00882D2B">
        <w:rPr>
          <w:lang w:val="en-IE"/>
        </w:rPr>
        <w:t>,</w:t>
      </w:r>
      <w:r w:rsidRPr="00882D2B">
        <w:rPr>
          <w:lang w:val="en-IE"/>
        </w:rPr>
        <w:t xml:space="preserve"> 11</w:t>
      </w:r>
      <w:r w:rsidR="00246AE2" w:rsidRPr="00882D2B">
        <w:rPr>
          <w:lang w:val="en-IE"/>
        </w:rPr>
        <w:t xml:space="preserve">, </w:t>
      </w:r>
      <w:r w:rsidRPr="00882D2B">
        <w:rPr>
          <w:lang w:val="en-IE"/>
        </w:rPr>
        <w:t xml:space="preserve">2929. </w:t>
      </w:r>
      <w:proofErr w:type="spellStart"/>
      <w:r w:rsidRPr="00882D2B">
        <w:rPr>
          <w:lang w:val="en-IE"/>
        </w:rPr>
        <w:t>doi</w:t>
      </w:r>
      <w:proofErr w:type="spellEnd"/>
      <w:r w:rsidRPr="00882D2B">
        <w:rPr>
          <w:lang w:val="en-IE"/>
        </w:rPr>
        <w:t>: 10.1038/s41598-021-82434-7. PMID: 33536465; PMCID: PMC7859399.</w:t>
      </w:r>
    </w:p>
    <w:p w14:paraId="34CAEF69" w14:textId="77777777" w:rsidR="00275DEA" w:rsidRPr="00734BEE" w:rsidRDefault="00275DEA" w:rsidP="00275DEA">
      <w:pPr>
        <w:pStyle w:val="Ref"/>
        <w:ind w:left="0" w:firstLine="0"/>
        <w:rPr>
          <w:lang w:val="es-SV" w:eastAsia="en-AU"/>
        </w:rPr>
      </w:pPr>
      <w:r w:rsidRPr="00882D2B">
        <w:rPr>
          <w:smallCaps/>
          <w:lang w:val="en-IE" w:eastAsia="en-AU"/>
        </w:rPr>
        <w:t xml:space="preserve">Perrett S., </w:t>
      </w:r>
      <w:proofErr w:type="spellStart"/>
      <w:r w:rsidRPr="00882D2B">
        <w:rPr>
          <w:smallCaps/>
          <w:lang w:val="en-IE" w:eastAsia="en-AU"/>
        </w:rPr>
        <w:t>Lesellier</w:t>
      </w:r>
      <w:proofErr w:type="spellEnd"/>
      <w:r w:rsidRPr="00882D2B">
        <w:rPr>
          <w:smallCaps/>
          <w:lang w:val="en-IE" w:eastAsia="en-AU"/>
        </w:rPr>
        <w:t xml:space="preserve"> S., Rogers F., Williams G.A., </w:t>
      </w:r>
      <w:proofErr w:type="spellStart"/>
      <w:r w:rsidRPr="00882D2B">
        <w:rPr>
          <w:smallCaps/>
          <w:lang w:val="en-IE" w:eastAsia="en-AU"/>
        </w:rPr>
        <w:t>Gowtage</w:t>
      </w:r>
      <w:proofErr w:type="spellEnd"/>
      <w:r w:rsidRPr="00882D2B">
        <w:rPr>
          <w:smallCaps/>
          <w:lang w:val="en-IE" w:eastAsia="en-AU"/>
        </w:rPr>
        <w:t xml:space="preserve"> S., Palmer S., Dailey D., </w:t>
      </w:r>
      <w:proofErr w:type="spellStart"/>
      <w:r w:rsidRPr="00882D2B">
        <w:rPr>
          <w:smallCaps/>
          <w:lang w:val="en-IE" w:eastAsia="en-AU"/>
        </w:rPr>
        <w:t>Davé</w:t>
      </w:r>
      <w:proofErr w:type="spellEnd"/>
      <w:r w:rsidRPr="00882D2B">
        <w:rPr>
          <w:smallCaps/>
          <w:lang w:val="en-IE" w:eastAsia="en-AU"/>
        </w:rPr>
        <w:t xml:space="preserve"> D., Weyer U, Wood E., </w:t>
      </w:r>
      <w:proofErr w:type="spellStart"/>
      <w:r w:rsidRPr="00882D2B">
        <w:rPr>
          <w:smallCaps/>
          <w:lang w:val="en-IE" w:eastAsia="en-AU"/>
        </w:rPr>
        <w:t>Saiguero</w:t>
      </w:r>
      <w:proofErr w:type="spellEnd"/>
      <w:r w:rsidRPr="00882D2B">
        <w:rPr>
          <w:smallCaps/>
          <w:lang w:val="en-IE" w:eastAsia="en-AU"/>
        </w:rPr>
        <w:t xml:space="preserve"> F.J., Nunez A., </w:t>
      </w:r>
      <w:proofErr w:type="spellStart"/>
      <w:r w:rsidRPr="00882D2B">
        <w:rPr>
          <w:smallCaps/>
          <w:lang w:val="en-IE" w:eastAsia="en-AU"/>
        </w:rPr>
        <w:t>Reen</w:t>
      </w:r>
      <w:proofErr w:type="spellEnd"/>
      <w:r w:rsidRPr="00882D2B">
        <w:rPr>
          <w:smallCaps/>
          <w:lang w:val="en-IE" w:eastAsia="en-AU"/>
        </w:rPr>
        <w:t xml:space="preserve"> N., Chambers M.A.</w:t>
      </w:r>
      <w:r w:rsidRPr="00882D2B">
        <w:rPr>
          <w:lang w:val="en-IE" w:eastAsia="en-AU"/>
        </w:rPr>
        <w:t xml:space="preserve"> (2018). Assessment of the safety of Bacillus Calmette-Guérin vaccine administered orally to badgers (</w:t>
      </w:r>
      <w:r w:rsidRPr="00882D2B">
        <w:rPr>
          <w:i/>
          <w:iCs/>
          <w:lang w:val="en-IE" w:eastAsia="en-AU"/>
        </w:rPr>
        <w:t>Meles meles</w:t>
      </w:r>
      <w:r w:rsidRPr="00882D2B">
        <w:rPr>
          <w:lang w:val="en-IE" w:eastAsia="en-AU"/>
        </w:rPr>
        <w:t xml:space="preserve">). </w:t>
      </w:r>
      <w:proofErr w:type="spellStart"/>
      <w:r w:rsidRPr="00734BEE">
        <w:rPr>
          <w:i/>
          <w:iCs/>
          <w:lang w:val="es-SV" w:eastAsia="en-AU"/>
        </w:rPr>
        <w:t>Vaccine</w:t>
      </w:r>
      <w:proofErr w:type="spellEnd"/>
      <w:r w:rsidRPr="00734BEE">
        <w:rPr>
          <w:lang w:val="es-SV" w:eastAsia="en-AU"/>
        </w:rPr>
        <w:t xml:space="preserve">, </w:t>
      </w:r>
      <w:r w:rsidRPr="00734BEE">
        <w:rPr>
          <w:b/>
          <w:bCs/>
          <w:lang w:val="es-SV" w:eastAsia="en-AU"/>
        </w:rPr>
        <w:t>36</w:t>
      </w:r>
      <w:r w:rsidRPr="00734BEE">
        <w:rPr>
          <w:lang w:val="es-SV" w:eastAsia="en-AU"/>
        </w:rPr>
        <w:t>, 1990–1995.</w:t>
      </w:r>
    </w:p>
    <w:p w14:paraId="4E23697C" w14:textId="17B43149" w:rsidR="002A1FC4" w:rsidRPr="00AC49E1" w:rsidRDefault="0072400D" w:rsidP="002A1FC4">
      <w:pPr>
        <w:pStyle w:val="Ref"/>
        <w:ind w:left="0" w:firstLine="0"/>
        <w:rPr>
          <w:smallCaps/>
          <w:shd w:val="clear" w:color="auto" w:fill="FFFFFF"/>
        </w:rPr>
      </w:pPr>
      <w:bookmarkStart w:id="13" w:name="baut0005"/>
      <w:r w:rsidRPr="00B112EF">
        <w:rPr>
          <w:rStyle w:val="text"/>
          <w:smallCaps/>
          <w:lang w:val="es-ES"/>
        </w:rPr>
        <w:t>Roy</w:t>
      </w:r>
      <w:bookmarkStart w:id="14" w:name="baut0010"/>
      <w:bookmarkEnd w:id="13"/>
      <w:r w:rsidRPr="00B112EF">
        <w:rPr>
          <w:lang w:val="es-ES"/>
        </w:rPr>
        <w:t xml:space="preserve"> A</w:t>
      </w:r>
      <w:r w:rsidR="00F668BA" w:rsidRPr="00B112EF">
        <w:rPr>
          <w:lang w:val="es-ES"/>
        </w:rPr>
        <w:t>.</w:t>
      </w:r>
      <w:r w:rsidR="00ED49E7" w:rsidRPr="00B112EF">
        <w:rPr>
          <w:lang w:val="es-ES"/>
        </w:rPr>
        <w:t xml:space="preserve">, </w:t>
      </w:r>
      <w:r w:rsidRPr="00B112EF">
        <w:rPr>
          <w:rStyle w:val="text"/>
          <w:smallCaps/>
          <w:lang w:val="es-ES"/>
        </w:rPr>
        <w:t>Infantes-Lorenzo</w:t>
      </w:r>
      <w:bookmarkStart w:id="15" w:name="baut0015"/>
      <w:bookmarkEnd w:id="14"/>
      <w:r w:rsidRPr="00B112EF">
        <w:rPr>
          <w:lang w:val="es-ES"/>
        </w:rPr>
        <w:t xml:space="preserve"> J.A.</w:t>
      </w:r>
      <w:r w:rsidR="006C55F7" w:rsidRPr="00ED49E7">
        <w:rPr>
          <w:lang w:val="es-SV"/>
        </w:rPr>
        <w:t xml:space="preserve">, </w:t>
      </w:r>
      <w:r w:rsidRPr="00ED49E7">
        <w:rPr>
          <w:rStyle w:val="text"/>
          <w:smallCaps/>
          <w:lang w:val="es-SV"/>
        </w:rPr>
        <w:t>de la Cruz</w:t>
      </w:r>
      <w:bookmarkStart w:id="16" w:name="baut0020"/>
      <w:bookmarkEnd w:id="15"/>
      <w:r w:rsidR="006C55F7" w:rsidRPr="00ED49E7">
        <w:rPr>
          <w:lang w:val="es-SV"/>
        </w:rPr>
        <w:t xml:space="preserve"> M.L., </w:t>
      </w:r>
      <w:r w:rsidRPr="00ED49E7">
        <w:rPr>
          <w:rStyle w:val="text"/>
          <w:smallCaps/>
          <w:lang w:val="es-SV"/>
        </w:rPr>
        <w:t>Domínguez</w:t>
      </w:r>
      <w:bookmarkStart w:id="17" w:name="baut0025"/>
      <w:bookmarkEnd w:id="16"/>
      <w:r w:rsidR="006C55F7" w:rsidRPr="00ED49E7">
        <w:rPr>
          <w:lang w:val="es-SV"/>
        </w:rPr>
        <w:t xml:space="preserve"> L.</w:t>
      </w:r>
      <w:r w:rsidR="00131DBF">
        <w:rPr>
          <w:lang w:val="es-SV"/>
        </w:rPr>
        <w:t>,</w:t>
      </w:r>
      <w:r w:rsidR="006C55F7" w:rsidRPr="00ED49E7">
        <w:rPr>
          <w:lang w:val="es-SV"/>
        </w:rPr>
        <w:t xml:space="preserve"> </w:t>
      </w:r>
      <w:r w:rsidRPr="00F41804">
        <w:rPr>
          <w:rStyle w:val="text"/>
          <w:smallCaps/>
          <w:lang w:val="es-ES"/>
        </w:rPr>
        <w:t>Álvarez</w:t>
      </w:r>
      <w:bookmarkStart w:id="18" w:name="baut0030"/>
      <w:bookmarkEnd w:id="17"/>
      <w:r w:rsidR="006C55F7" w:rsidRPr="00F41804">
        <w:rPr>
          <w:lang w:val="es-ES"/>
        </w:rPr>
        <w:t xml:space="preserve"> J. </w:t>
      </w:r>
      <w:r w:rsidR="006C55F7" w:rsidRPr="00A45C13">
        <w:rPr>
          <w:lang w:val="es-ES"/>
        </w:rPr>
        <w:t xml:space="preserve">&amp; </w:t>
      </w:r>
      <w:r w:rsidRPr="00A45C13">
        <w:rPr>
          <w:rStyle w:val="text"/>
          <w:smallCaps/>
          <w:lang w:val="es-ES"/>
        </w:rPr>
        <w:t>Bezos</w:t>
      </w:r>
      <w:bookmarkEnd w:id="18"/>
      <w:r w:rsidR="006C55F7" w:rsidRPr="00A45C13">
        <w:rPr>
          <w:lang w:val="es-ES"/>
        </w:rPr>
        <w:t xml:space="preserve"> J.</w:t>
      </w:r>
      <w:r w:rsidR="007D7725" w:rsidRPr="00A45C13">
        <w:rPr>
          <w:lang w:val="es-ES"/>
        </w:rPr>
        <w:t xml:space="preserve"> (2020)</w:t>
      </w:r>
      <w:r w:rsidR="004253A5" w:rsidRPr="00A45C13">
        <w:rPr>
          <w:lang w:val="es-ES"/>
        </w:rPr>
        <w:t xml:space="preserve">. </w:t>
      </w:r>
      <w:r w:rsidR="005609CE">
        <w:rPr>
          <w:rStyle w:val="title-text"/>
        </w:rPr>
        <w:t>Accuracy of tuberculosis diagnostic tests in small ruminants: A systematic review and meta-analysis</w:t>
      </w:r>
      <w:r w:rsidR="004253A5">
        <w:rPr>
          <w:rStyle w:val="title-text"/>
        </w:rPr>
        <w:t xml:space="preserve">. </w:t>
      </w:r>
      <w:r w:rsidR="004253A5" w:rsidRPr="00AC49E1">
        <w:rPr>
          <w:rStyle w:val="title-text"/>
          <w:i/>
          <w:iCs/>
        </w:rPr>
        <w:t>Prev</w:t>
      </w:r>
      <w:r w:rsidR="00131DBF" w:rsidRPr="00AC49E1">
        <w:rPr>
          <w:rStyle w:val="title-text"/>
          <w:i/>
          <w:iCs/>
        </w:rPr>
        <w:t>. Vet.</w:t>
      </w:r>
      <w:r w:rsidR="004253A5" w:rsidRPr="00AC49E1">
        <w:rPr>
          <w:rStyle w:val="title-text"/>
          <w:i/>
          <w:iCs/>
        </w:rPr>
        <w:t xml:space="preserve"> Med</w:t>
      </w:r>
      <w:r w:rsidR="00131DBF" w:rsidRPr="00AC49E1">
        <w:rPr>
          <w:rStyle w:val="title-text"/>
          <w:i/>
          <w:iCs/>
        </w:rPr>
        <w:t>.</w:t>
      </w:r>
      <w:r w:rsidR="00B95D28" w:rsidRPr="00AC49E1">
        <w:rPr>
          <w:rStyle w:val="title-text"/>
        </w:rPr>
        <w:t>,</w:t>
      </w:r>
      <w:r w:rsidR="004253A5" w:rsidRPr="00AC49E1">
        <w:rPr>
          <w:rStyle w:val="title-text"/>
        </w:rPr>
        <w:t xml:space="preserve"> </w:t>
      </w:r>
      <w:r w:rsidR="004253A5" w:rsidRPr="00AC49E1">
        <w:rPr>
          <w:rStyle w:val="title-text"/>
          <w:b/>
          <w:bCs/>
        </w:rPr>
        <w:t>182</w:t>
      </w:r>
      <w:r w:rsidR="00B95D28" w:rsidRPr="00AC49E1">
        <w:rPr>
          <w:rStyle w:val="title-text"/>
        </w:rPr>
        <w:t>,</w:t>
      </w:r>
      <w:r w:rsidR="002A1FC4" w:rsidRPr="00AC49E1">
        <w:rPr>
          <w:rStyle w:val="title-text"/>
        </w:rPr>
        <w:t xml:space="preserve"> </w:t>
      </w:r>
      <w:r w:rsidR="00FD7A29" w:rsidRPr="00AC49E1">
        <w:rPr>
          <w:rStyle w:val="title-text"/>
        </w:rPr>
        <w:t>105102.</w:t>
      </w:r>
    </w:p>
    <w:p w14:paraId="48281780" w14:textId="00D4DA6F" w:rsidR="00275DEA" w:rsidRPr="00882D2B" w:rsidRDefault="00275DEA" w:rsidP="00275DEA">
      <w:pPr>
        <w:pStyle w:val="Ref"/>
        <w:ind w:left="0" w:firstLine="0"/>
        <w:rPr>
          <w:lang w:val="en-IE"/>
        </w:rPr>
      </w:pPr>
      <w:r w:rsidRPr="00AC49E1">
        <w:rPr>
          <w:smallCaps/>
          <w:shd w:val="clear" w:color="auto" w:fill="FFFFFF"/>
        </w:rPr>
        <w:t>S</w:t>
      </w:r>
      <w:r w:rsidR="00B91D2C" w:rsidRPr="00AC49E1">
        <w:rPr>
          <w:smallCaps/>
          <w:shd w:val="clear" w:color="auto" w:fill="FFFFFF"/>
        </w:rPr>
        <w:t>a</w:t>
      </w:r>
      <w:r w:rsidRPr="00AC49E1">
        <w:rPr>
          <w:smallCaps/>
          <w:shd w:val="clear" w:color="auto" w:fill="FFFFFF"/>
        </w:rPr>
        <w:t>nchez-Carvajal J</w:t>
      </w:r>
      <w:r w:rsidR="004C3ABE" w:rsidRPr="00AC49E1">
        <w:rPr>
          <w:smallCaps/>
          <w:shd w:val="clear" w:color="auto" w:fill="FFFFFF"/>
        </w:rPr>
        <w:t>.</w:t>
      </w:r>
      <w:r w:rsidRPr="00AC49E1">
        <w:rPr>
          <w:smallCaps/>
          <w:shd w:val="clear" w:color="auto" w:fill="FFFFFF"/>
        </w:rPr>
        <w:t>M</w:t>
      </w:r>
      <w:r w:rsidR="004C3ABE" w:rsidRPr="00AC49E1">
        <w:rPr>
          <w:smallCaps/>
          <w:shd w:val="clear" w:color="auto" w:fill="FFFFFF"/>
        </w:rPr>
        <w:t>.</w:t>
      </w:r>
      <w:r w:rsidRPr="00AC49E1">
        <w:rPr>
          <w:smallCaps/>
          <w:shd w:val="clear" w:color="auto" w:fill="FFFFFF"/>
        </w:rPr>
        <w:t xml:space="preserve">, </w:t>
      </w:r>
      <w:proofErr w:type="spellStart"/>
      <w:r w:rsidRPr="00AC49E1">
        <w:rPr>
          <w:smallCaps/>
          <w:shd w:val="clear" w:color="auto" w:fill="FFFFFF"/>
        </w:rPr>
        <w:t>Galán-Relaño</w:t>
      </w:r>
      <w:proofErr w:type="spellEnd"/>
      <w:r w:rsidRPr="00AC49E1">
        <w:rPr>
          <w:smallCaps/>
          <w:shd w:val="clear" w:color="auto" w:fill="FFFFFF"/>
        </w:rPr>
        <w:t xml:space="preserve"> Á</w:t>
      </w:r>
      <w:r w:rsidR="004C3ABE" w:rsidRPr="00AC49E1">
        <w:rPr>
          <w:smallCaps/>
          <w:shd w:val="clear" w:color="auto" w:fill="FFFFFF"/>
        </w:rPr>
        <w:t>.</w:t>
      </w:r>
      <w:r w:rsidRPr="00AC49E1">
        <w:rPr>
          <w:smallCaps/>
          <w:shd w:val="clear" w:color="auto" w:fill="FFFFFF"/>
        </w:rPr>
        <w:t>, Ruedas-Torres I</w:t>
      </w:r>
      <w:r w:rsidR="004C3ABE" w:rsidRPr="00AC49E1">
        <w:rPr>
          <w:smallCaps/>
          <w:shd w:val="clear" w:color="auto" w:fill="FFFFFF"/>
        </w:rPr>
        <w:t>.</w:t>
      </w:r>
      <w:r w:rsidRPr="00AC49E1">
        <w:rPr>
          <w:smallCaps/>
          <w:shd w:val="clear" w:color="auto" w:fill="FFFFFF"/>
        </w:rPr>
        <w:t>, Jurado-Martos F</w:t>
      </w:r>
      <w:r w:rsidR="004C3ABE" w:rsidRPr="00AC49E1">
        <w:rPr>
          <w:smallCaps/>
          <w:shd w:val="clear" w:color="auto" w:fill="FFFFFF"/>
        </w:rPr>
        <w:t>.</w:t>
      </w:r>
      <w:r w:rsidRPr="00AC49E1">
        <w:rPr>
          <w:smallCaps/>
          <w:shd w:val="clear" w:color="auto" w:fill="FFFFFF"/>
        </w:rPr>
        <w:t>, Larenas-Muñoz F</w:t>
      </w:r>
      <w:r w:rsidR="004C3ABE" w:rsidRPr="00AC49E1">
        <w:rPr>
          <w:smallCaps/>
          <w:shd w:val="clear" w:color="auto" w:fill="FFFFFF"/>
        </w:rPr>
        <w:t>.</w:t>
      </w:r>
      <w:r w:rsidRPr="00AC49E1">
        <w:rPr>
          <w:smallCaps/>
          <w:shd w:val="clear" w:color="auto" w:fill="FFFFFF"/>
        </w:rPr>
        <w:t>, Vera E</w:t>
      </w:r>
      <w:r w:rsidR="004C3ABE" w:rsidRPr="00AC49E1">
        <w:rPr>
          <w:smallCaps/>
          <w:shd w:val="clear" w:color="auto" w:fill="FFFFFF"/>
        </w:rPr>
        <w:t>.</w:t>
      </w:r>
      <w:r w:rsidRPr="00AC49E1">
        <w:rPr>
          <w:smallCaps/>
          <w:shd w:val="clear" w:color="auto" w:fill="FFFFFF"/>
        </w:rPr>
        <w:t>, Gómez-</w:t>
      </w:r>
      <w:proofErr w:type="spellStart"/>
      <w:r w:rsidRPr="00AC49E1">
        <w:rPr>
          <w:smallCaps/>
          <w:shd w:val="clear" w:color="auto" w:fill="FFFFFF"/>
        </w:rPr>
        <w:t>Gascón</w:t>
      </w:r>
      <w:proofErr w:type="spellEnd"/>
      <w:r w:rsidRPr="00AC49E1">
        <w:rPr>
          <w:smallCaps/>
          <w:shd w:val="clear" w:color="auto" w:fill="FFFFFF"/>
        </w:rPr>
        <w:t xml:space="preserve"> L</w:t>
      </w:r>
      <w:r w:rsidR="004C3ABE" w:rsidRPr="00AC49E1">
        <w:rPr>
          <w:smallCaps/>
          <w:shd w:val="clear" w:color="auto" w:fill="FFFFFF"/>
        </w:rPr>
        <w:t>.</w:t>
      </w:r>
      <w:r w:rsidRPr="00AC49E1">
        <w:rPr>
          <w:smallCaps/>
          <w:shd w:val="clear" w:color="auto" w:fill="FFFFFF"/>
        </w:rPr>
        <w:t>, Cardoso-Toset F</w:t>
      </w:r>
      <w:r w:rsidR="004C3ABE" w:rsidRPr="00AC49E1">
        <w:rPr>
          <w:smallCaps/>
          <w:shd w:val="clear" w:color="auto" w:fill="FFFFFF"/>
        </w:rPr>
        <w:t>.</w:t>
      </w:r>
      <w:r w:rsidRPr="00AC49E1">
        <w:rPr>
          <w:smallCaps/>
          <w:shd w:val="clear" w:color="auto" w:fill="FFFFFF"/>
        </w:rPr>
        <w:t>, Rodríguez-Gómez I</w:t>
      </w:r>
      <w:r w:rsidR="004C3ABE" w:rsidRPr="00AC49E1">
        <w:rPr>
          <w:smallCaps/>
          <w:shd w:val="clear" w:color="auto" w:fill="FFFFFF"/>
        </w:rPr>
        <w:t>.</w:t>
      </w:r>
      <w:r w:rsidRPr="00AC49E1">
        <w:rPr>
          <w:smallCaps/>
          <w:shd w:val="clear" w:color="auto" w:fill="FFFFFF"/>
        </w:rPr>
        <w:t>M</w:t>
      </w:r>
      <w:r w:rsidR="004C3ABE" w:rsidRPr="00AC49E1">
        <w:rPr>
          <w:smallCaps/>
          <w:shd w:val="clear" w:color="auto" w:fill="FFFFFF"/>
        </w:rPr>
        <w:t>.</w:t>
      </w:r>
      <w:r w:rsidRPr="00AC49E1">
        <w:rPr>
          <w:smallCaps/>
          <w:shd w:val="clear" w:color="auto" w:fill="FFFFFF"/>
        </w:rPr>
        <w:t>, Maldonado A</w:t>
      </w:r>
      <w:r w:rsidR="004C3ABE" w:rsidRPr="00AC49E1">
        <w:rPr>
          <w:smallCaps/>
          <w:shd w:val="clear" w:color="auto" w:fill="FFFFFF"/>
        </w:rPr>
        <w:t>.</w:t>
      </w:r>
      <w:r w:rsidRPr="00AC49E1">
        <w:rPr>
          <w:smallCaps/>
          <w:shd w:val="clear" w:color="auto" w:fill="FFFFFF"/>
        </w:rPr>
        <w:t>, Carrasco L</w:t>
      </w:r>
      <w:r w:rsidR="004C3ABE" w:rsidRPr="00AC49E1">
        <w:rPr>
          <w:smallCaps/>
          <w:shd w:val="clear" w:color="auto" w:fill="FFFFFF"/>
        </w:rPr>
        <w:t>.</w:t>
      </w:r>
      <w:r w:rsidRPr="00AC49E1">
        <w:rPr>
          <w:smallCaps/>
          <w:shd w:val="clear" w:color="auto" w:fill="FFFFFF"/>
        </w:rPr>
        <w:t xml:space="preserve">, </w:t>
      </w:r>
      <w:proofErr w:type="spellStart"/>
      <w:r w:rsidRPr="00AC49E1">
        <w:rPr>
          <w:smallCaps/>
          <w:shd w:val="clear" w:color="auto" w:fill="FFFFFF"/>
        </w:rPr>
        <w:t>Tarradas</w:t>
      </w:r>
      <w:proofErr w:type="spellEnd"/>
      <w:r w:rsidRPr="00AC49E1">
        <w:rPr>
          <w:smallCaps/>
          <w:shd w:val="clear" w:color="auto" w:fill="FFFFFF"/>
        </w:rPr>
        <w:t xml:space="preserve"> C</w:t>
      </w:r>
      <w:r w:rsidR="004C3ABE" w:rsidRPr="00AC49E1">
        <w:rPr>
          <w:smallCaps/>
          <w:shd w:val="clear" w:color="auto" w:fill="FFFFFF"/>
        </w:rPr>
        <w:t>.</w:t>
      </w:r>
      <w:r w:rsidRPr="00AC49E1">
        <w:rPr>
          <w:smallCaps/>
          <w:shd w:val="clear" w:color="auto" w:fill="FFFFFF"/>
        </w:rPr>
        <w:t>, Gómez-Laguna J</w:t>
      </w:r>
      <w:r w:rsidR="004C3ABE" w:rsidRPr="00AC49E1">
        <w:rPr>
          <w:smallCaps/>
          <w:shd w:val="clear" w:color="auto" w:fill="FFFFFF"/>
        </w:rPr>
        <w:t xml:space="preserve">. &amp; </w:t>
      </w:r>
      <w:r w:rsidRPr="00AC49E1">
        <w:rPr>
          <w:smallCaps/>
          <w:shd w:val="clear" w:color="auto" w:fill="FFFFFF"/>
        </w:rPr>
        <w:t>Luque I.</w:t>
      </w:r>
      <w:r w:rsidRPr="00AC49E1">
        <w:rPr>
          <w:shd w:val="clear" w:color="auto" w:fill="FFFFFF"/>
        </w:rPr>
        <w:t xml:space="preserve"> (2021). </w:t>
      </w:r>
      <w:r w:rsidRPr="00882D2B">
        <w:rPr>
          <w:shd w:val="clear" w:color="auto" w:fill="FFFFFF"/>
          <w:lang w:val="en-IE"/>
        </w:rPr>
        <w:t>Real-Time PCR Validation for</w:t>
      </w:r>
      <w:r w:rsidR="004C3ABE" w:rsidRPr="00882D2B">
        <w:rPr>
          <w:shd w:val="clear" w:color="auto" w:fill="FFFFFF"/>
          <w:lang w:val="en-IE"/>
        </w:rPr>
        <w:t xml:space="preserve"> </w:t>
      </w:r>
      <w:r w:rsidRPr="00882D2B">
        <w:rPr>
          <w:i/>
          <w:iCs/>
          <w:lang w:val="en-IE"/>
        </w:rPr>
        <w:t>Mycobacterium tuberculosis</w:t>
      </w:r>
      <w:r w:rsidR="004C3ABE" w:rsidRPr="00882D2B">
        <w:rPr>
          <w:shd w:val="clear" w:color="auto" w:fill="FFFFFF"/>
          <w:lang w:val="en-IE"/>
        </w:rPr>
        <w:t xml:space="preserve"> </w:t>
      </w:r>
      <w:r w:rsidRPr="00882D2B">
        <w:rPr>
          <w:shd w:val="clear" w:color="auto" w:fill="FFFFFF"/>
          <w:lang w:val="en-IE"/>
        </w:rPr>
        <w:t>Complex Detection Targeting IS</w:t>
      </w:r>
      <w:r w:rsidRPr="00882D2B">
        <w:rPr>
          <w:i/>
          <w:iCs/>
          <w:lang w:val="en-IE"/>
        </w:rPr>
        <w:t>6110</w:t>
      </w:r>
      <w:r w:rsidR="004C3ABE" w:rsidRPr="00882D2B">
        <w:rPr>
          <w:shd w:val="clear" w:color="auto" w:fill="FFFFFF"/>
          <w:lang w:val="en-IE"/>
        </w:rPr>
        <w:t xml:space="preserve"> </w:t>
      </w:r>
      <w:r w:rsidRPr="00882D2B">
        <w:rPr>
          <w:shd w:val="clear" w:color="auto" w:fill="FFFFFF"/>
          <w:lang w:val="en-IE"/>
        </w:rPr>
        <w:t xml:space="preserve">Directly From Bovine Lymph Nodes. </w:t>
      </w:r>
      <w:r w:rsidRPr="00882D2B">
        <w:rPr>
          <w:i/>
          <w:iCs/>
          <w:shd w:val="clear" w:color="auto" w:fill="FFFFFF"/>
          <w:lang w:val="en-IE"/>
        </w:rPr>
        <w:t>Front</w:t>
      </w:r>
      <w:r w:rsidR="004C3ABE" w:rsidRPr="00882D2B">
        <w:rPr>
          <w:i/>
          <w:iCs/>
          <w:shd w:val="clear" w:color="auto" w:fill="FFFFFF"/>
          <w:lang w:val="en-IE"/>
        </w:rPr>
        <w:t>.</w:t>
      </w:r>
      <w:r w:rsidRPr="00882D2B">
        <w:rPr>
          <w:i/>
          <w:iCs/>
          <w:shd w:val="clear" w:color="auto" w:fill="FFFFFF"/>
          <w:lang w:val="en-IE"/>
        </w:rPr>
        <w:t xml:space="preserve"> Vet Sci.</w:t>
      </w:r>
      <w:r w:rsidR="004C3ABE" w:rsidRPr="00882D2B">
        <w:rPr>
          <w:i/>
          <w:iCs/>
          <w:shd w:val="clear" w:color="auto" w:fill="FFFFFF"/>
          <w:lang w:val="en-IE"/>
        </w:rPr>
        <w:t>,</w:t>
      </w:r>
      <w:r w:rsidRPr="00882D2B">
        <w:rPr>
          <w:shd w:val="clear" w:color="auto" w:fill="FFFFFF"/>
          <w:lang w:val="en-IE"/>
        </w:rPr>
        <w:t xml:space="preserve"> </w:t>
      </w:r>
      <w:r w:rsidRPr="00882D2B">
        <w:rPr>
          <w:b/>
          <w:bCs/>
          <w:shd w:val="clear" w:color="auto" w:fill="FFFFFF"/>
          <w:lang w:val="en-IE"/>
        </w:rPr>
        <w:t>8</w:t>
      </w:r>
      <w:r w:rsidR="004C3ABE" w:rsidRPr="00882D2B">
        <w:rPr>
          <w:shd w:val="clear" w:color="auto" w:fill="FFFFFF"/>
          <w:lang w:val="en-IE"/>
        </w:rPr>
        <w:t xml:space="preserve">, </w:t>
      </w:r>
      <w:r w:rsidRPr="00882D2B">
        <w:rPr>
          <w:shd w:val="clear" w:color="auto" w:fill="FFFFFF"/>
          <w:lang w:val="en-IE"/>
        </w:rPr>
        <w:t xml:space="preserve">643111. </w:t>
      </w:r>
      <w:proofErr w:type="spellStart"/>
      <w:r w:rsidRPr="00882D2B">
        <w:rPr>
          <w:shd w:val="clear" w:color="auto" w:fill="FFFFFF"/>
          <w:lang w:val="en-IE"/>
        </w:rPr>
        <w:t>doi</w:t>
      </w:r>
      <w:proofErr w:type="spellEnd"/>
      <w:r w:rsidRPr="00882D2B">
        <w:rPr>
          <w:shd w:val="clear" w:color="auto" w:fill="FFFFFF"/>
          <w:lang w:val="en-IE"/>
        </w:rPr>
        <w:t>: 10.3389/fvets.2021.643111.</w:t>
      </w:r>
    </w:p>
    <w:p w14:paraId="77B537F9" w14:textId="60A282BE" w:rsidR="00B91D2C" w:rsidRPr="00882D2B" w:rsidRDefault="00B91D2C" w:rsidP="00B91D2C">
      <w:pPr>
        <w:pStyle w:val="Ref"/>
        <w:ind w:left="0" w:firstLine="0"/>
        <w:rPr>
          <w:lang w:val="en-IE"/>
        </w:rPr>
      </w:pPr>
      <w:r w:rsidRPr="00882D2B">
        <w:rPr>
          <w:smallCaps/>
          <w:lang w:val="en-IE"/>
        </w:rPr>
        <w:t xml:space="preserve">Srinivasan S., Conlan A.J.K., Easterling L.A., Herrera C., </w:t>
      </w:r>
      <w:proofErr w:type="spellStart"/>
      <w:r w:rsidRPr="00882D2B">
        <w:rPr>
          <w:smallCaps/>
          <w:lang w:val="en-IE"/>
        </w:rPr>
        <w:t>Dandapat</w:t>
      </w:r>
      <w:proofErr w:type="spellEnd"/>
      <w:r w:rsidRPr="00882D2B">
        <w:rPr>
          <w:smallCaps/>
          <w:lang w:val="en-IE"/>
        </w:rPr>
        <w:t xml:space="preserve"> P., </w:t>
      </w:r>
      <w:proofErr w:type="spellStart"/>
      <w:r w:rsidRPr="00882D2B">
        <w:rPr>
          <w:smallCaps/>
          <w:lang w:val="en-IE"/>
        </w:rPr>
        <w:t>Veerasami</w:t>
      </w:r>
      <w:proofErr w:type="spellEnd"/>
      <w:r w:rsidRPr="00882D2B">
        <w:rPr>
          <w:smallCaps/>
          <w:lang w:val="en-IE"/>
        </w:rPr>
        <w:t xml:space="preserve"> M., Ameni G., Jindal N., Raj G.D., Wood J., </w:t>
      </w:r>
      <w:proofErr w:type="spellStart"/>
      <w:r w:rsidRPr="00882D2B">
        <w:rPr>
          <w:smallCaps/>
          <w:lang w:val="en-IE"/>
        </w:rPr>
        <w:t>Juleff</w:t>
      </w:r>
      <w:proofErr w:type="spellEnd"/>
      <w:r w:rsidRPr="00882D2B">
        <w:rPr>
          <w:smallCaps/>
          <w:lang w:val="en-IE"/>
        </w:rPr>
        <w:t xml:space="preserve"> N., Bakker D., </w:t>
      </w:r>
      <w:proofErr w:type="spellStart"/>
      <w:r w:rsidRPr="00882D2B">
        <w:rPr>
          <w:smallCaps/>
          <w:lang w:val="en-IE"/>
        </w:rPr>
        <w:t>Vordermeier</w:t>
      </w:r>
      <w:proofErr w:type="spellEnd"/>
      <w:r w:rsidRPr="00882D2B">
        <w:rPr>
          <w:smallCaps/>
          <w:lang w:val="en-IE"/>
        </w:rPr>
        <w:t xml:space="preserve"> M. &amp; Kapur V</w:t>
      </w:r>
      <w:r w:rsidRPr="00882D2B">
        <w:rPr>
          <w:lang w:val="en-IE"/>
        </w:rPr>
        <w:t xml:space="preserve">. (2021). A Meta-Analysis of the Effect of Bacillus Calmette-Guérin Vaccination Against Bovine Tuberculosis: Is Perfect the Enemy of Good? </w:t>
      </w:r>
      <w:r w:rsidRPr="00882D2B">
        <w:rPr>
          <w:i/>
          <w:iCs/>
          <w:lang w:val="en-IE"/>
        </w:rPr>
        <w:t>Front. Vet. Sci.,</w:t>
      </w:r>
      <w:r w:rsidRPr="00882D2B">
        <w:rPr>
          <w:lang w:val="en-IE"/>
        </w:rPr>
        <w:t xml:space="preserve"> </w:t>
      </w:r>
      <w:r w:rsidRPr="00882D2B">
        <w:rPr>
          <w:b/>
          <w:bCs/>
          <w:lang w:val="en-IE"/>
        </w:rPr>
        <w:t>8</w:t>
      </w:r>
      <w:r w:rsidRPr="00882D2B">
        <w:rPr>
          <w:lang w:val="en-IE"/>
        </w:rPr>
        <w:t xml:space="preserve">, 637580. </w:t>
      </w:r>
      <w:proofErr w:type="spellStart"/>
      <w:r w:rsidRPr="00882D2B">
        <w:rPr>
          <w:lang w:val="en-IE"/>
        </w:rPr>
        <w:t>doi</w:t>
      </w:r>
      <w:proofErr w:type="spellEnd"/>
      <w:r w:rsidRPr="00882D2B">
        <w:rPr>
          <w:lang w:val="en-IE"/>
        </w:rPr>
        <w:t>: 10.3389/fvets.2021.637580.</w:t>
      </w:r>
    </w:p>
    <w:p w14:paraId="451A69B5" w14:textId="063F1AAD" w:rsidR="00275DEA" w:rsidRPr="00F41804" w:rsidRDefault="00275DEA" w:rsidP="00275DEA">
      <w:pPr>
        <w:pStyle w:val="Ref"/>
        <w:ind w:left="0" w:firstLine="0"/>
        <w:rPr>
          <w:lang w:val="en-IE"/>
        </w:rPr>
      </w:pPr>
      <w:r w:rsidRPr="00882D2B">
        <w:rPr>
          <w:smallCaps/>
          <w:lang w:val="en-IE"/>
        </w:rPr>
        <w:t xml:space="preserve">Srinivasan S., Jones G.J., </w:t>
      </w:r>
      <w:proofErr w:type="spellStart"/>
      <w:r w:rsidRPr="00882D2B">
        <w:rPr>
          <w:smallCaps/>
          <w:lang w:val="en-IE"/>
        </w:rPr>
        <w:t>Veerasane</w:t>
      </w:r>
      <w:proofErr w:type="spellEnd"/>
      <w:r w:rsidRPr="00882D2B">
        <w:rPr>
          <w:smallCaps/>
          <w:lang w:val="en-IE"/>
        </w:rPr>
        <w:t xml:space="preserve"> M., Steinbach S., Holder T., </w:t>
      </w:r>
      <w:proofErr w:type="spellStart"/>
      <w:r w:rsidRPr="00882D2B">
        <w:rPr>
          <w:smallCaps/>
          <w:lang w:val="en-IE"/>
        </w:rPr>
        <w:t>Zewude</w:t>
      </w:r>
      <w:proofErr w:type="spellEnd"/>
      <w:r w:rsidRPr="00882D2B">
        <w:rPr>
          <w:smallCaps/>
          <w:lang w:val="en-IE"/>
        </w:rPr>
        <w:t xml:space="preserve"> A., </w:t>
      </w:r>
      <w:proofErr w:type="spellStart"/>
      <w:r w:rsidRPr="00882D2B">
        <w:rPr>
          <w:smallCaps/>
          <w:lang w:val="en-IE"/>
        </w:rPr>
        <w:t>Fromsa</w:t>
      </w:r>
      <w:proofErr w:type="spellEnd"/>
      <w:r w:rsidRPr="00882D2B">
        <w:rPr>
          <w:smallCaps/>
          <w:lang w:val="en-IE"/>
        </w:rPr>
        <w:t xml:space="preserve"> A., Ameni G., Easterling L., Bakker D., </w:t>
      </w:r>
      <w:proofErr w:type="spellStart"/>
      <w:r w:rsidRPr="00882D2B">
        <w:rPr>
          <w:smallCaps/>
          <w:lang w:val="en-IE"/>
        </w:rPr>
        <w:t>Juleff</w:t>
      </w:r>
      <w:proofErr w:type="spellEnd"/>
      <w:r w:rsidRPr="00882D2B">
        <w:rPr>
          <w:smallCaps/>
          <w:lang w:val="en-IE"/>
        </w:rPr>
        <w:t xml:space="preserve"> N., Gifford G., </w:t>
      </w:r>
      <w:proofErr w:type="spellStart"/>
      <w:r w:rsidRPr="00882D2B">
        <w:rPr>
          <w:smallCaps/>
          <w:lang w:val="en-IE"/>
        </w:rPr>
        <w:t>Hewinson</w:t>
      </w:r>
      <w:proofErr w:type="spellEnd"/>
      <w:r w:rsidRPr="00882D2B">
        <w:rPr>
          <w:smallCaps/>
          <w:lang w:val="en-IE"/>
        </w:rPr>
        <w:t xml:space="preserve"> R.G., </w:t>
      </w:r>
      <w:proofErr w:type="spellStart"/>
      <w:r w:rsidRPr="00882D2B">
        <w:rPr>
          <w:smallCaps/>
          <w:lang w:val="en-IE"/>
        </w:rPr>
        <w:t>Vordermeier</w:t>
      </w:r>
      <w:proofErr w:type="spellEnd"/>
      <w:r w:rsidRPr="00882D2B">
        <w:rPr>
          <w:smallCaps/>
          <w:lang w:val="en-IE"/>
        </w:rPr>
        <w:t xml:space="preserve"> H.M. &amp; Kapur V.</w:t>
      </w:r>
      <w:r w:rsidRPr="00882D2B">
        <w:rPr>
          <w:lang w:val="en-IE"/>
        </w:rPr>
        <w:t xml:space="preserve"> (2019). A defined antigen skin test for the diagnosis of bovine tuberculosis. </w:t>
      </w:r>
      <w:r w:rsidRPr="00F41804">
        <w:rPr>
          <w:i/>
          <w:iCs/>
          <w:lang w:val="en-IE"/>
        </w:rPr>
        <w:t>Sci. Adv.,</w:t>
      </w:r>
      <w:r w:rsidRPr="00F41804">
        <w:rPr>
          <w:lang w:val="en-IE"/>
        </w:rPr>
        <w:t xml:space="preserve"> </w:t>
      </w:r>
      <w:r w:rsidRPr="00F41804">
        <w:rPr>
          <w:b/>
          <w:bCs/>
          <w:lang w:val="en-IE"/>
        </w:rPr>
        <w:t>5</w:t>
      </w:r>
      <w:r w:rsidRPr="00F41804">
        <w:rPr>
          <w:lang w:val="en-IE"/>
        </w:rPr>
        <w:t>, eaax4899.</w:t>
      </w:r>
    </w:p>
    <w:p w14:paraId="126B0CDE" w14:textId="1676D1C9" w:rsidR="002F667D" w:rsidRDefault="002D2535" w:rsidP="002F667D">
      <w:pPr>
        <w:pStyle w:val="Ref"/>
        <w:ind w:left="0" w:firstLine="0"/>
        <w:rPr>
          <w:rStyle w:val="cit"/>
        </w:rPr>
      </w:pPr>
      <w:hyperlink r:id="rId25" w:history="1">
        <w:r w:rsidR="00805FE5" w:rsidRPr="00F41804">
          <w:rPr>
            <w:rStyle w:val="Hyperlink"/>
            <w:smallCaps/>
            <w:color w:val="auto"/>
            <w:u w:val="none"/>
            <w:lang w:val="en-IE"/>
          </w:rPr>
          <w:t>Supply</w:t>
        </w:r>
      </w:hyperlink>
      <w:r w:rsidR="005C2406" w:rsidRPr="00F41804">
        <w:rPr>
          <w:rStyle w:val="comma"/>
          <w:smallCaps/>
          <w:lang w:val="en-IE"/>
        </w:rPr>
        <w:t xml:space="preserve"> P</w:t>
      </w:r>
      <w:r w:rsidR="002335A5" w:rsidRPr="00F41804">
        <w:rPr>
          <w:rStyle w:val="comma"/>
          <w:smallCaps/>
          <w:lang w:val="en-IE"/>
        </w:rPr>
        <w:t>.</w:t>
      </w:r>
      <w:r w:rsidR="005C2406" w:rsidRPr="00F41804">
        <w:rPr>
          <w:rStyle w:val="comma"/>
          <w:smallCaps/>
          <w:lang w:val="en-IE"/>
        </w:rPr>
        <w:t xml:space="preserve">, </w:t>
      </w:r>
      <w:hyperlink r:id="rId26" w:history="1">
        <w:r w:rsidR="00805FE5" w:rsidRPr="00F41804">
          <w:rPr>
            <w:rStyle w:val="Hyperlink"/>
            <w:smallCaps/>
            <w:color w:val="auto"/>
            <w:u w:val="none"/>
            <w:lang w:val="en-IE"/>
          </w:rPr>
          <w:t>Allix</w:t>
        </w:r>
      </w:hyperlink>
      <w:r w:rsidR="002335A5" w:rsidRPr="00F41804">
        <w:rPr>
          <w:rStyle w:val="comma"/>
          <w:smallCaps/>
          <w:lang w:val="en-IE"/>
        </w:rPr>
        <w:t xml:space="preserve"> C., </w:t>
      </w:r>
      <w:hyperlink r:id="rId27" w:history="1">
        <w:proofErr w:type="spellStart"/>
        <w:r w:rsidR="00805FE5" w:rsidRPr="00F41804">
          <w:rPr>
            <w:rStyle w:val="Hyperlink"/>
            <w:smallCaps/>
            <w:color w:val="auto"/>
            <w:u w:val="none"/>
            <w:lang w:val="en-IE"/>
          </w:rPr>
          <w:t>Lesjean</w:t>
        </w:r>
        <w:proofErr w:type="spellEnd"/>
      </w:hyperlink>
      <w:r w:rsidR="002432E5" w:rsidRPr="00F41804">
        <w:rPr>
          <w:rStyle w:val="Hyperlink"/>
          <w:smallCaps/>
          <w:color w:val="auto"/>
          <w:u w:val="none"/>
          <w:lang w:val="en-IE"/>
        </w:rPr>
        <w:t xml:space="preserve"> S.,</w:t>
      </w:r>
      <w:r w:rsidR="00785400" w:rsidRPr="00F41804">
        <w:rPr>
          <w:i/>
          <w:iCs/>
          <w:lang w:val="en-IE"/>
        </w:rPr>
        <w:t xml:space="preserve"> </w:t>
      </w:r>
      <w:r w:rsidR="002432E5" w:rsidRPr="00F41804">
        <w:rPr>
          <w:rStyle w:val="authors-list-item"/>
          <w:smallCaps/>
          <w:lang w:val="en-IE"/>
        </w:rPr>
        <w:t>Cardoso-</w:t>
      </w:r>
      <w:proofErr w:type="spellStart"/>
      <w:r w:rsidR="002432E5" w:rsidRPr="00F41804">
        <w:rPr>
          <w:rStyle w:val="authors-list-item"/>
          <w:smallCaps/>
          <w:lang w:val="en-IE"/>
        </w:rPr>
        <w:t>Oelemann</w:t>
      </w:r>
      <w:proofErr w:type="spellEnd"/>
      <w:r w:rsidR="002432E5" w:rsidRPr="00F41804">
        <w:rPr>
          <w:rStyle w:val="authors-list-item"/>
          <w:smallCaps/>
          <w:lang w:val="en-IE"/>
        </w:rPr>
        <w:t xml:space="preserve"> M.</w:t>
      </w:r>
      <w:r w:rsidR="002432E5" w:rsidRPr="00F41804">
        <w:rPr>
          <w:rStyle w:val="comma"/>
          <w:smallCaps/>
          <w:shd w:val="clear" w:color="auto" w:fill="FFFFFF"/>
          <w:lang w:val="en-IE"/>
        </w:rPr>
        <w:t xml:space="preserve">, </w:t>
      </w:r>
      <w:proofErr w:type="spellStart"/>
      <w:r w:rsidR="002432E5" w:rsidRPr="00F41804">
        <w:rPr>
          <w:rStyle w:val="authors-list-item"/>
          <w:smallCaps/>
          <w:lang w:val="en-IE"/>
        </w:rPr>
        <w:t>Rüsch</w:t>
      </w:r>
      <w:proofErr w:type="spellEnd"/>
      <w:r w:rsidR="002432E5" w:rsidRPr="00F41804">
        <w:rPr>
          <w:rStyle w:val="authors-list-item"/>
          <w:smallCaps/>
          <w:lang w:val="en-IE"/>
        </w:rPr>
        <w:t>-Gerdes S.</w:t>
      </w:r>
      <w:r w:rsidR="002432E5" w:rsidRPr="00F41804">
        <w:rPr>
          <w:rStyle w:val="comma"/>
          <w:smallCaps/>
          <w:shd w:val="clear" w:color="auto" w:fill="FFFFFF"/>
          <w:lang w:val="en-IE"/>
        </w:rPr>
        <w:t xml:space="preserve">, </w:t>
      </w:r>
      <w:proofErr w:type="spellStart"/>
      <w:r w:rsidR="002432E5" w:rsidRPr="00F41804">
        <w:rPr>
          <w:rStyle w:val="authors-list-item"/>
          <w:smallCaps/>
          <w:lang w:val="en-IE"/>
        </w:rPr>
        <w:t>Willery</w:t>
      </w:r>
      <w:proofErr w:type="spellEnd"/>
      <w:r w:rsidR="002432E5" w:rsidRPr="00F41804">
        <w:rPr>
          <w:rStyle w:val="authors-list-item"/>
          <w:smallCaps/>
          <w:lang w:val="en-IE"/>
        </w:rPr>
        <w:t xml:space="preserve"> E.</w:t>
      </w:r>
      <w:r w:rsidR="002432E5" w:rsidRPr="00F41804">
        <w:rPr>
          <w:rStyle w:val="comma"/>
          <w:smallCaps/>
          <w:shd w:val="clear" w:color="auto" w:fill="FFFFFF"/>
          <w:lang w:val="en-IE"/>
        </w:rPr>
        <w:t xml:space="preserve">, </w:t>
      </w:r>
      <w:r w:rsidR="002432E5" w:rsidRPr="00F41804">
        <w:rPr>
          <w:rStyle w:val="authors-list-item"/>
          <w:smallCaps/>
          <w:lang w:val="en-IE"/>
        </w:rPr>
        <w:t>Savine E.</w:t>
      </w:r>
      <w:r w:rsidR="002432E5" w:rsidRPr="00F41804">
        <w:rPr>
          <w:rStyle w:val="comma"/>
          <w:smallCaps/>
          <w:shd w:val="clear" w:color="auto" w:fill="FFFFFF"/>
          <w:lang w:val="en-IE"/>
        </w:rPr>
        <w:t xml:space="preserve">, </w:t>
      </w:r>
      <w:r w:rsidR="002432E5" w:rsidRPr="00F41804">
        <w:rPr>
          <w:rStyle w:val="authors-list-item"/>
          <w:smallCaps/>
          <w:lang w:val="en-IE"/>
        </w:rPr>
        <w:t>de Haas P.</w:t>
      </w:r>
      <w:r w:rsidR="002432E5" w:rsidRPr="00F41804">
        <w:rPr>
          <w:rStyle w:val="comma"/>
          <w:smallCaps/>
          <w:shd w:val="clear" w:color="auto" w:fill="FFFFFF"/>
          <w:lang w:val="en-IE"/>
        </w:rPr>
        <w:t xml:space="preserve">, </w:t>
      </w:r>
      <w:r w:rsidR="002432E5" w:rsidRPr="00F41804">
        <w:rPr>
          <w:rStyle w:val="authors-list-item"/>
          <w:smallCaps/>
          <w:lang w:val="en-IE"/>
        </w:rPr>
        <w:t xml:space="preserve">van </w:t>
      </w:r>
      <w:proofErr w:type="spellStart"/>
      <w:r w:rsidR="002432E5" w:rsidRPr="00F41804">
        <w:rPr>
          <w:rStyle w:val="authors-list-item"/>
          <w:smallCaps/>
          <w:lang w:val="en-IE"/>
        </w:rPr>
        <w:t>Deutekom</w:t>
      </w:r>
      <w:proofErr w:type="spellEnd"/>
      <w:r w:rsidR="002432E5" w:rsidRPr="00F41804">
        <w:rPr>
          <w:rStyle w:val="authors-list-item"/>
          <w:smallCaps/>
          <w:lang w:val="en-IE"/>
        </w:rPr>
        <w:t xml:space="preserve"> H.</w:t>
      </w:r>
      <w:r w:rsidR="002432E5" w:rsidRPr="00F41804">
        <w:rPr>
          <w:rStyle w:val="comma"/>
          <w:smallCaps/>
          <w:shd w:val="clear" w:color="auto" w:fill="FFFFFF"/>
          <w:lang w:val="en-IE"/>
        </w:rPr>
        <w:t xml:space="preserve">, </w:t>
      </w:r>
      <w:proofErr w:type="spellStart"/>
      <w:r w:rsidR="002432E5" w:rsidRPr="00F41804">
        <w:rPr>
          <w:rStyle w:val="authors-list-item"/>
          <w:smallCaps/>
          <w:lang w:val="en-IE"/>
        </w:rPr>
        <w:t>Roring</w:t>
      </w:r>
      <w:proofErr w:type="spellEnd"/>
      <w:r w:rsidR="002432E5" w:rsidRPr="00F41804">
        <w:rPr>
          <w:rStyle w:val="authors-list-item"/>
          <w:smallCaps/>
          <w:lang w:val="en-IE"/>
        </w:rPr>
        <w:t xml:space="preserve"> S.</w:t>
      </w:r>
      <w:r w:rsidR="002432E5" w:rsidRPr="00F41804">
        <w:rPr>
          <w:rStyle w:val="comma"/>
          <w:smallCaps/>
          <w:shd w:val="clear" w:color="auto" w:fill="FFFFFF"/>
          <w:lang w:val="en-IE"/>
        </w:rPr>
        <w:t xml:space="preserve">, </w:t>
      </w:r>
      <w:proofErr w:type="spellStart"/>
      <w:r w:rsidR="002432E5" w:rsidRPr="00F41804">
        <w:rPr>
          <w:rStyle w:val="authors-list-item"/>
          <w:smallCaps/>
          <w:lang w:val="en-IE"/>
        </w:rPr>
        <w:t>Bifani</w:t>
      </w:r>
      <w:proofErr w:type="spellEnd"/>
      <w:r w:rsidR="002432E5" w:rsidRPr="00F41804">
        <w:rPr>
          <w:rStyle w:val="authors-list-item"/>
          <w:smallCaps/>
          <w:lang w:val="en-IE"/>
        </w:rPr>
        <w:t xml:space="preserve"> P.</w:t>
      </w:r>
      <w:r w:rsidR="002432E5" w:rsidRPr="00F41804">
        <w:rPr>
          <w:rStyle w:val="comma"/>
          <w:smallCaps/>
          <w:shd w:val="clear" w:color="auto" w:fill="FFFFFF"/>
          <w:lang w:val="en-IE"/>
        </w:rPr>
        <w:t xml:space="preserve">, </w:t>
      </w:r>
      <w:proofErr w:type="spellStart"/>
      <w:r w:rsidR="002432E5" w:rsidRPr="00F41804">
        <w:rPr>
          <w:rStyle w:val="authors-list-item"/>
          <w:smallCaps/>
          <w:lang w:val="en-IE"/>
        </w:rPr>
        <w:t>Kurepina</w:t>
      </w:r>
      <w:proofErr w:type="spellEnd"/>
      <w:r w:rsidR="002432E5" w:rsidRPr="00F41804">
        <w:rPr>
          <w:rStyle w:val="authors-list-item"/>
          <w:smallCaps/>
          <w:lang w:val="en-IE"/>
        </w:rPr>
        <w:t xml:space="preserve"> N.</w:t>
      </w:r>
      <w:r w:rsidR="002432E5" w:rsidRPr="00F41804">
        <w:rPr>
          <w:rStyle w:val="comma"/>
          <w:smallCaps/>
          <w:shd w:val="clear" w:color="auto" w:fill="FFFFFF"/>
          <w:lang w:val="en-IE"/>
        </w:rPr>
        <w:t xml:space="preserve">, </w:t>
      </w:r>
      <w:proofErr w:type="spellStart"/>
      <w:r w:rsidR="002432E5" w:rsidRPr="00F41804">
        <w:rPr>
          <w:rStyle w:val="authors-list-item"/>
          <w:smallCaps/>
          <w:lang w:val="en-IE"/>
        </w:rPr>
        <w:t>Kreiswirth</w:t>
      </w:r>
      <w:proofErr w:type="spellEnd"/>
      <w:r w:rsidR="002432E5" w:rsidRPr="00F41804">
        <w:rPr>
          <w:rStyle w:val="authors-list-item"/>
          <w:smallCaps/>
          <w:lang w:val="en-IE"/>
        </w:rPr>
        <w:t xml:space="preserve"> B.</w:t>
      </w:r>
      <w:r w:rsidR="002432E5" w:rsidRPr="00F41804">
        <w:rPr>
          <w:rStyle w:val="comma"/>
          <w:smallCaps/>
          <w:shd w:val="clear" w:color="auto" w:fill="FFFFFF"/>
          <w:lang w:val="en-IE"/>
        </w:rPr>
        <w:t xml:space="preserve">, </w:t>
      </w:r>
      <w:r w:rsidR="002432E5" w:rsidRPr="00F41804">
        <w:rPr>
          <w:rStyle w:val="authors-list-item"/>
          <w:smallCaps/>
          <w:lang w:val="en-IE"/>
        </w:rPr>
        <w:t>Sola C.</w:t>
      </w:r>
      <w:r w:rsidR="002432E5" w:rsidRPr="00F41804">
        <w:rPr>
          <w:rStyle w:val="comma"/>
          <w:smallCaps/>
          <w:shd w:val="clear" w:color="auto" w:fill="FFFFFF"/>
          <w:lang w:val="en-IE"/>
        </w:rPr>
        <w:t xml:space="preserve">, </w:t>
      </w:r>
      <w:r w:rsidR="002432E5" w:rsidRPr="00F41804">
        <w:rPr>
          <w:rStyle w:val="authors-list-item"/>
          <w:smallCaps/>
          <w:lang w:val="en-IE"/>
        </w:rPr>
        <w:t>Rastogi N.</w:t>
      </w:r>
      <w:r w:rsidR="002432E5" w:rsidRPr="00F41804">
        <w:rPr>
          <w:rStyle w:val="comma"/>
          <w:smallCaps/>
          <w:shd w:val="clear" w:color="auto" w:fill="FFFFFF"/>
          <w:lang w:val="en-IE"/>
        </w:rPr>
        <w:t xml:space="preserve">, </w:t>
      </w:r>
      <w:proofErr w:type="spellStart"/>
      <w:r w:rsidR="002432E5" w:rsidRPr="00F41804">
        <w:rPr>
          <w:rStyle w:val="authors-list-item"/>
          <w:smallCaps/>
          <w:lang w:val="en-IE"/>
        </w:rPr>
        <w:t>Vatin</w:t>
      </w:r>
      <w:proofErr w:type="spellEnd"/>
      <w:r w:rsidR="002432E5" w:rsidRPr="00F41804">
        <w:rPr>
          <w:rStyle w:val="authors-list-item"/>
          <w:smallCaps/>
          <w:lang w:val="en-IE"/>
        </w:rPr>
        <w:t xml:space="preserve"> V.</w:t>
      </w:r>
      <w:r w:rsidR="002432E5" w:rsidRPr="00F41804">
        <w:rPr>
          <w:rStyle w:val="comma"/>
          <w:smallCaps/>
          <w:shd w:val="clear" w:color="auto" w:fill="FFFFFF"/>
          <w:lang w:val="en-IE"/>
        </w:rPr>
        <w:t xml:space="preserve">, </w:t>
      </w:r>
      <w:r w:rsidR="002432E5" w:rsidRPr="00F41804">
        <w:rPr>
          <w:rStyle w:val="authors-list-item"/>
          <w:smallCaps/>
          <w:lang w:val="en-IE"/>
        </w:rPr>
        <w:t>Gutierrez M.C.</w:t>
      </w:r>
      <w:r w:rsidR="002432E5" w:rsidRPr="00F41804">
        <w:rPr>
          <w:rStyle w:val="comma"/>
          <w:smallCaps/>
          <w:shd w:val="clear" w:color="auto" w:fill="FFFFFF"/>
          <w:lang w:val="en-IE"/>
        </w:rPr>
        <w:t xml:space="preserve">, </w:t>
      </w:r>
      <w:proofErr w:type="spellStart"/>
      <w:r w:rsidR="002432E5" w:rsidRPr="00F41804">
        <w:rPr>
          <w:rStyle w:val="authors-list-item"/>
          <w:smallCaps/>
          <w:lang w:val="en-IE"/>
        </w:rPr>
        <w:t>Fauville</w:t>
      </w:r>
      <w:proofErr w:type="spellEnd"/>
      <w:r w:rsidR="002432E5" w:rsidRPr="00F41804">
        <w:rPr>
          <w:rStyle w:val="authors-list-item"/>
          <w:smallCaps/>
          <w:lang w:val="en-IE"/>
        </w:rPr>
        <w:t xml:space="preserve"> M.</w:t>
      </w:r>
      <w:r w:rsidR="002432E5" w:rsidRPr="00F41804">
        <w:rPr>
          <w:rStyle w:val="comma"/>
          <w:smallCaps/>
          <w:shd w:val="clear" w:color="auto" w:fill="FFFFFF"/>
          <w:lang w:val="en-IE"/>
        </w:rPr>
        <w:t xml:space="preserve">, </w:t>
      </w:r>
      <w:r w:rsidR="002432E5" w:rsidRPr="00F41804">
        <w:rPr>
          <w:rStyle w:val="authors-list-item"/>
          <w:smallCaps/>
          <w:lang w:val="en-IE"/>
        </w:rPr>
        <w:t>Niemann S.</w:t>
      </w:r>
      <w:r w:rsidR="002432E5" w:rsidRPr="00F41804">
        <w:rPr>
          <w:rStyle w:val="comma"/>
          <w:smallCaps/>
          <w:shd w:val="clear" w:color="auto" w:fill="FFFFFF"/>
          <w:lang w:val="en-IE"/>
        </w:rPr>
        <w:t xml:space="preserve">, </w:t>
      </w:r>
      <w:r w:rsidR="002432E5" w:rsidRPr="00F41804">
        <w:rPr>
          <w:rStyle w:val="authors-list-item"/>
          <w:smallCaps/>
          <w:lang w:val="en-IE"/>
        </w:rPr>
        <w:t>Skuce R.</w:t>
      </w:r>
      <w:r w:rsidR="002432E5" w:rsidRPr="00F41804">
        <w:rPr>
          <w:rStyle w:val="comma"/>
          <w:smallCaps/>
          <w:shd w:val="clear" w:color="auto" w:fill="FFFFFF"/>
          <w:lang w:val="en-IE"/>
        </w:rPr>
        <w:t xml:space="preserve">, </w:t>
      </w:r>
      <w:r w:rsidR="002432E5" w:rsidRPr="00F41804">
        <w:rPr>
          <w:rStyle w:val="authors-list-item"/>
          <w:smallCaps/>
          <w:lang w:val="en-IE"/>
        </w:rPr>
        <w:t>Kremer K.</w:t>
      </w:r>
      <w:r w:rsidR="002432E5" w:rsidRPr="00F41804">
        <w:rPr>
          <w:rStyle w:val="comma"/>
          <w:smallCaps/>
          <w:shd w:val="clear" w:color="auto" w:fill="FFFFFF"/>
          <w:lang w:val="en-IE"/>
        </w:rPr>
        <w:t xml:space="preserve">, </w:t>
      </w:r>
      <w:r w:rsidR="002432E5" w:rsidRPr="00F41804">
        <w:rPr>
          <w:rStyle w:val="authors-list-item"/>
          <w:smallCaps/>
          <w:lang w:val="en-IE"/>
        </w:rPr>
        <w:t>Locht C.</w:t>
      </w:r>
      <w:r w:rsidR="002432E5" w:rsidRPr="00F41804">
        <w:rPr>
          <w:rStyle w:val="comma"/>
          <w:smallCaps/>
          <w:shd w:val="clear" w:color="auto" w:fill="FFFFFF"/>
          <w:lang w:val="en-IE"/>
        </w:rPr>
        <w:t xml:space="preserve"> &amp; </w:t>
      </w:r>
      <w:r w:rsidR="002432E5" w:rsidRPr="00F41804">
        <w:rPr>
          <w:rStyle w:val="authors-list-item"/>
          <w:smallCaps/>
          <w:lang w:val="en-IE"/>
        </w:rPr>
        <w:t xml:space="preserve">van </w:t>
      </w:r>
      <w:proofErr w:type="spellStart"/>
      <w:r w:rsidR="002432E5" w:rsidRPr="00F41804">
        <w:rPr>
          <w:rStyle w:val="authors-list-item"/>
          <w:smallCaps/>
          <w:lang w:val="en-IE"/>
        </w:rPr>
        <w:t>Soolingen</w:t>
      </w:r>
      <w:proofErr w:type="spellEnd"/>
      <w:r w:rsidR="002432E5" w:rsidRPr="00F41804">
        <w:rPr>
          <w:rStyle w:val="authors-list-item"/>
          <w:smallCaps/>
          <w:lang w:val="en-IE"/>
        </w:rPr>
        <w:t xml:space="preserve"> D.</w:t>
      </w:r>
      <w:r w:rsidR="007D3A20" w:rsidRPr="00F41804">
        <w:rPr>
          <w:rStyle w:val="comma"/>
          <w:lang w:val="en-IE"/>
        </w:rPr>
        <w:t xml:space="preserve"> (2006).</w:t>
      </w:r>
      <w:r w:rsidR="00805FE5" w:rsidRPr="00F41804">
        <w:rPr>
          <w:lang w:val="en-IE"/>
        </w:rPr>
        <w:t xml:space="preserve"> </w:t>
      </w:r>
      <w:r w:rsidR="007D3A20" w:rsidRPr="002F667D">
        <w:t xml:space="preserve">Proposal for standardization of optimized mycobacterial interspersed repetitive unit-variable-number tandem repeat typing of </w:t>
      </w:r>
      <w:r w:rsidR="007D3A20" w:rsidRPr="00131DBF">
        <w:rPr>
          <w:i/>
          <w:iCs/>
        </w:rPr>
        <w:t>Mycobacterium tuberculosis</w:t>
      </w:r>
      <w:r w:rsidR="00131DBF">
        <w:t>.</w:t>
      </w:r>
      <w:r w:rsidR="007D3A20" w:rsidRPr="002F667D">
        <w:t xml:space="preserve"> </w:t>
      </w:r>
      <w:r w:rsidR="00B878D2" w:rsidRPr="003802A7">
        <w:rPr>
          <w:i/>
          <w:iCs/>
        </w:rPr>
        <w:t>J</w:t>
      </w:r>
      <w:r w:rsidR="00131DBF">
        <w:rPr>
          <w:i/>
          <w:iCs/>
        </w:rPr>
        <w:t>.</w:t>
      </w:r>
      <w:r w:rsidR="00B878D2" w:rsidRPr="003802A7">
        <w:rPr>
          <w:i/>
          <w:iCs/>
        </w:rPr>
        <w:t xml:space="preserve"> Clin</w:t>
      </w:r>
      <w:r w:rsidR="00131DBF">
        <w:rPr>
          <w:i/>
          <w:iCs/>
        </w:rPr>
        <w:t>.</w:t>
      </w:r>
      <w:r w:rsidR="00B878D2" w:rsidRPr="003802A7">
        <w:rPr>
          <w:i/>
          <w:iCs/>
        </w:rPr>
        <w:t xml:space="preserve"> </w:t>
      </w:r>
      <w:proofErr w:type="spellStart"/>
      <w:r w:rsidR="00B878D2" w:rsidRPr="003802A7">
        <w:rPr>
          <w:i/>
          <w:iCs/>
        </w:rPr>
        <w:t>Microbiol</w:t>
      </w:r>
      <w:proofErr w:type="spellEnd"/>
      <w:r w:rsidR="00131DBF">
        <w:t>.</w:t>
      </w:r>
      <w:r w:rsidR="002F667D" w:rsidRPr="002F667D">
        <w:t xml:space="preserve">, </w:t>
      </w:r>
      <w:r w:rsidR="002F667D" w:rsidRPr="00131DBF">
        <w:rPr>
          <w:rStyle w:val="cit"/>
          <w:b/>
          <w:bCs/>
        </w:rPr>
        <w:t>44</w:t>
      </w:r>
      <w:r w:rsidR="00131DBF">
        <w:rPr>
          <w:rStyle w:val="cit"/>
        </w:rPr>
        <w:t>,</w:t>
      </w:r>
      <w:r w:rsidR="002F667D" w:rsidRPr="002F667D">
        <w:rPr>
          <w:rStyle w:val="cit"/>
        </w:rPr>
        <w:t xml:space="preserve"> 4498</w:t>
      </w:r>
      <w:r w:rsidR="00131DBF">
        <w:rPr>
          <w:rStyle w:val="cit"/>
        </w:rPr>
        <w:t>–4</w:t>
      </w:r>
      <w:r w:rsidR="002F667D" w:rsidRPr="002F667D">
        <w:rPr>
          <w:rStyle w:val="cit"/>
        </w:rPr>
        <w:t>510.</w:t>
      </w:r>
    </w:p>
    <w:p w14:paraId="2EB948B1" w14:textId="77777777" w:rsidR="00B112EF" w:rsidRPr="00B112EF" w:rsidRDefault="00B112EF" w:rsidP="00B112EF">
      <w:pPr>
        <w:pStyle w:val="Ref"/>
        <w:ind w:left="0" w:firstLine="0"/>
        <w:rPr>
          <w:lang w:val="en-IE"/>
        </w:rPr>
      </w:pPr>
      <w:r w:rsidRPr="00B112EF">
        <w:rPr>
          <w:smallCaps/>
          <w:lang w:val="en-IE"/>
        </w:rPr>
        <w:t>Thomas R.</w:t>
      </w:r>
      <w:r>
        <w:rPr>
          <w:smallCaps/>
          <w:lang w:val="en-IE"/>
        </w:rPr>
        <w:t xml:space="preserve"> &amp; </w:t>
      </w:r>
      <w:r w:rsidRPr="00B112EF">
        <w:rPr>
          <w:smallCaps/>
          <w:lang w:val="en-IE"/>
        </w:rPr>
        <w:t xml:space="preserve">Chambers M. </w:t>
      </w:r>
      <w:r w:rsidRPr="00B112EF">
        <w:rPr>
          <w:color w:val="212121"/>
          <w:shd w:val="clear" w:color="auto" w:fill="FFFFFF"/>
        </w:rPr>
        <w:t>(2021). Review of Methods Used for Diagnosing Tuberculosis in Captive and Free-Ranging Non-Bovid Species (2012</w:t>
      </w:r>
      <w:r>
        <w:rPr>
          <w:color w:val="212121"/>
          <w:shd w:val="clear" w:color="auto" w:fill="FFFFFF"/>
        </w:rPr>
        <w:t>–</w:t>
      </w:r>
      <w:r w:rsidRPr="00B112EF">
        <w:rPr>
          <w:color w:val="212121"/>
          <w:shd w:val="clear" w:color="auto" w:fill="FFFFFF"/>
        </w:rPr>
        <w:t xml:space="preserve">2020). </w:t>
      </w:r>
      <w:r w:rsidRPr="00B112EF">
        <w:rPr>
          <w:i/>
          <w:iCs/>
          <w:color w:val="212121"/>
          <w:shd w:val="clear" w:color="auto" w:fill="FFFFFF"/>
        </w:rPr>
        <w:t>Pathogens</w:t>
      </w:r>
      <w:r>
        <w:rPr>
          <w:color w:val="212121"/>
          <w:shd w:val="clear" w:color="auto" w:fill="FFFFFF"/>
        </w:rPr>
        <w:t>,</w:t>
      </w:r>
      <w:r w:rsidRPr="00B112EF">
        <w:rPr>
          <w:color w:val="212121"/>
          <w:shd w:val="clear" w:color="auto" w:fill="FFFFFF"/>
        </w:rPr>
        <w:t xml:space="preserve"> </w:t>
      </w:r>
      <w:r w:rsidRPr="00B112EF">
        <w:rPr>
          <w:b/>
          <w:bCs/>
          <w:color w:val="212121"/>
          <w:shd w:val="clear" w:color="auto" w:fill="FFFFFF"/>
        </w:rPr>
        <w:t>10</w:t>
      </w:r>
      <w:r>
        <w:rPr>
          <w:color w:val="212121"/>
          <w:shd w:val="clear" w:color="auto" w:fill="FFFFFF"/>
        </w:rPr>
        <w:t xml:space="preserve">, </w:t>
      </w:r>
      <w:r w:rsidRPr="00B112EF">
        <w:rPr>
          <w:color w:val="212121"/>
          <w:shd w:val="clear" w:color="auto" w:fill="FFFFFF"/>
        </w:rPr>
        <w:t xml:space="preserve">584. </w:t>
      </w:r>
    </w:p>
    <w:p w14:paraId="561C78EE" w14:textId="3D9A376B" w:rsidR="00275DEA" w:rsidRPr="00882D2B" w:rsidRDefault="00275DEA" w:rsidP="00275DEA">
      <w:pPr>
        <w:pStyle w:val="Ref"/>
        <w:ind w:left="0" w:firstLine="0"/>
        <w:rPr>
          <w:lang w:val="en-IE"/>
        </w:rPr>
      </w:pPr>
      <w:r w:rsidRPr="00882D2B">
        <w:rPr>
          <w:smallCaps/>
          <w:lang w:val="en-IE"/>
        </w:rPr>
        <w:t>Tompkins D.M., Ramsey D.S.L., Cross M.L., Aldwell F.E., de Lisle G.W. &amp; Buddle B.M.</w:t>
      </w:r>
      <w:r w:rsidR="00B91D2C" w:rsidRPr="00882D2B">
        <w:rPr>
          <w:lang w:val="en-IE"/>
        </w:rPr>
        <w:t xml:space="preserve"> </w:t>
      </w:r>
      <w:r w:rsidRPr="00882D2B">
        <w:rPr>
          <w:lang w:val="en-IE"/>
        </w:rPr>
        <w:t xml:space="preserve">(2009). Oral vaccination reduces the incidence of bovine tuberculosis in a free-living wildlife species. </w:t>
      </w:r>
      <w:r w:rsidRPr="00882D2B">
        <w:rPr>
          <w:i/>
          <w:iCs/>
          <w:lang w:val="en-IE"/>
        </w:rPr>
        <w:t>Proc. Royal Soc. B: Biol. Sci</w:t>
      </w:r>
      <w:r w:rsidRPr="00882D2B">
        <w:rPr>
          <w:lang w:val="en-IE"/>
        </w:rPr>
        <w:t xml:space="preserve">., </w:t>
      </w:r>
      <w:r w:rsidRPr="00882D2B">
        <w:rPr>
          <w:b/>
          <w:bCs/>
          <w:lang w:val="en-IE"/>
        </w:rPr>
        <w:t>276</w:t>
      </w:r>
      <w:r w:rsidRPr="00882D2B">
        <w:rPr>
          <w:lang w:val="en-IE"/>
        </w:rPr>
        <w:t>, 2987–2995.</w:t>
      </w:r>
    </w:p>
    <w:p w14:paraId="3F035EE0" w14:textId="2B355508" w:rsidR="00275DEA" w:rsidRPr="00882D2B" w:rsidRDefault="00275DEA" w:rsidP="00275DEA">
      <w:pPr>
        <w:pStyle w:val="Ref"/>
        <w:ind w:left="0" w:firstLine="0"/>
        <w:rPr>
          <w:lang w:val="en-IE"/>
        </w:rPr>
      </w:pPr>
      <w:proofErr w:type="spellStart"/>
      <w:r w:rsidRPr="00882D2B">
        <w:rPr>
          <w:smallCaps/>
          <w:lang w:val="en-IE"/>
        </w:rPr>
        <w:t>Vordermeier</w:t>
      </w:r>
      <w:proofErr w:type="spellEnd"/>
      <w:r w:rsidRPr="00882D2B">
        <w:rPr>
          <w:smallCaps/>
          <w:lang w:val="en-IE"/>
        </w:rPr>
        <w:t xml:space="preserve"> H</w:t>
      </w:r>
      <w:r w:rsidR="00FA5FEB" w:rsidRPr="00882D2B">
        <w:rPr>
          <w:smallCaps/>
          <w:lang w:val="en-IE"/>
        </w:rPr>
        <w:t>.</w:t>
      </w:r>
      <w:r w:rsidRPr="00882D2B">
        <w:rPr>
          <w:smallCaps/>
          <w:lang w:val="en-IE"/>
        </w:rPr>
        <w:t>M</w:t>
      </w:r>
      <w:r w:rsidR="00FA5FEB" w:rsidRPr="00882D2B">
        <w:rPr>
          <w:smallCaps/>
          <w:lang w:val="en-IE"/>
        </w:rPr>
        <w:t>.</w:t>
      </w:r>
      <w:r w:rsidRPr="00882D2B">
        <w:rPr>
          <w:smallCaps/>
          <w:lang w:val="en-IE"/>
        </w:rPr>
        <w:t>, Jones G</w:t>
      </w:r>
      <w:r w:rsidR="00FA5FEB" w:rsidRPr="00882D2B">
        <w:rPr>
          <w:smallCaps/>
          <w:lang w:val="en-IE"/>
        </w:rPr>
        <w:t>.</w:t>
      </w:r>
      <w:r w:rsidRPr="00882D2B">
        <w:rPr>
          <w:smallCaps/>
          <w:lang w:val="en-IE"/>
        </w:rPr>
        <w:t>J</w:t>
      </w:r>
      <w:r w:rsidR="00FA5FEB" w:rsidRPr="00882D2B">
        <w:rPr>
          <w:smallCaps/>
          <w:lang w:val="en-IE"/>
        </w:rPr>
        <w:t>.</w:t>
      </w:r>
      <w:r w:rsidRPr="00882D2B">
        <w:rPr>
          <w:smallCaps/>
          <w:lang w:val="en-IE"/>
        </w:rPr>
        <w:t>, Buddle B</w:t>
      </w:r>
      <w:r w:rsidR="00FA5FEB" w:rsidRPr="00882D2B">
        <w:rPr>
          <w:smallCaps/>
          <w:lang w:val="en-IE"/>
        </w:rPr>
        <w:t>.</w:t>
      </w:r>
      <w:r w:rsidRPr="00882D2B">
        <w:rPr>
          <w:smallCaps/>
          <w:lang w:val="en-IE"/>
        </w:rPr>
        <w:t>M</w:t>
      </w:r>
      <w:r w:rsidR="00FA5FEB" w:rsidRPr="00882D2B">
        <w:rPr>
          <w:smallCaps/>
          <w:lang w:val="en-IE"/>
        </w:rPr>
        <w:t>.</w:t>
      </w:r>
      <w:r w:rsidRPr="00882D2B">
        <w:rPr>
          <w:smallCaps/>
          <w:lang w:val="en-IE"/>
        </w:rPr>
        <w:t xml:space="preserve">, </w:t>
      </w:r>
      <w:proofErr w:type="spellStart"/>
      <w:r w:rsidRPr="00882D2B">
        <w:rPr>
          <w:smallCaps/>
          <w:lang w:val="en-IE"/>
        </w:rPr>
        <w:t>Hewinson</w:t>
      </w:r>
      <w:proofErr w:type="spellEnd"/>
      <w:r w:rsidRPr="00882D2B">
        <w:rPr>
          <w:smallCaps/>
          <w:lang w:val="en-IE"/>
        </w:rPr>
        <w:t xml:space="preserve"> R</w:t>
      </w:r>
      <w:r w:rsidR="00FA5FEB" w:rsidRPr="00882D2B">
        <w:rPr>
          <w:smallCaps/>
          <w:lang w:val="en-IE"/>
        </w:rPr>
        <w:t>.</w:t>
      </w:r>
      <w:r w:rsidRPr="00882D2B">
        <w:rPr>
          <w:smallCaps/>
          <w:lang w:val="en-IE"/>
        </w:rPr>
        <w:t>G</w:t>
      </w:r>
      <w:r w:rsidR="00FA5FEB" w:rsidRPr="00882D2B">
        <w:rPr>
          <w:smallCaps/>
          <w:lang w:val="en-IE"/>
        </w:rPr>
        <w:t>. &amp;</w:t>
      </w:r>
      <w:r w:rsidRPr="00882D2B">
        <w:rPr>
          <w:smallCaps/>
          <w:lang w:val="en-IE"/>
        </w:rPr>
        <w:t xml:space="preserve"> Villarreal-Ramos B</w:t>
      </w:r>
      <w:r w:rsidRPr="00882D2B">
        <w:rPr>
          <w:lang w:val="en-IE"/>
        </w:rPr>
        <w:t xml:space="preserve">. (2016). Bovine Tuberculosis in Cattle: Vaccines, DIVA Tests, and Host Biomarker Discovery. </w:t>
      </w:r>
      <w:r w:rsidRPr="00882D2B">
        <w:rPr>
          <w:i/>
          <w:iCs/>
          <w:lang w:val="en-IE"/>
        </w:rPr>
        <w:t>Annu</w:t>
      </w:r>
      <w:r w:rsidR="00FA5FEB" w:rsidRPr="00882D2B">
        <w:rPr>
          <w:i/>
          <w:iCs/>
          <w:lang w:val="en-IE"/>
        </w:rPr>
        <w:t>.</w:t>
      </w:r>
      <w:r w:rsidRPr="00882D2B">
        <w:rPr>
          <w:i/>
          <w:iCs/>
          <w:lang w:val="en-IE"/>
        </w:rPr>
        <w:t xml:space="preserve"> Rev</w:t>
      </w:r>
      <w:r w:rsidR="00FA5FEB" w:rsidRPr="00882D2B">
        <w:rPr>
          <w:i/>
          <w:iCs/>
          <w:lang w:val="en-IE"/>
        </w:rPr>
        <w:t>.</w:t>
      </w:r>
      <w:r w:rsidRPr="00882D2B">
        <w:rPr>
          <w:i/>
          <w:iCs/>
          <w:lang w:val="en-IE"/>
        </w:rPr>
        <w:t xml:space="preserve"> Anim</w:t>
      </w:r>
      <w:r w:rsidR="00FA5FEB" w:rsidRPr="00882D2B">
        <w:rPr>
          <w:i/>
          <w:iCs/>
          <w:lang w:val="en-IE"/>
        </w:rPr>
        <w:t>.</w:t>
      </w:r>
      <w:r w:rsidRPr="00882D2B">
        <w:rPr>
          <w:i/>
          <w:iCs/>
          <w:lang w:val="en-IE"/>
        </w:rPr>
        <w:t xml:space="preserve"> </w:t>
      </w:r>
      <w:proofErr w:type="spellStart"/>
      <w:r w:rsidRPr="00882D2B">
        <w:rPr>
          <w:i/>
          <w:iCs/>
          <w:lang w:val="en-IE"/>
        </w:rPr>
        <w:t>Biosci</w:t>
      </w:r>
      <w:proofErr w:type="spellEnd"/>
      <w:r w:rsidR="00FA5FEB" w:rsidRPr="00882D2B">
        <w:rPr>
          <w:lang w:val="en-IE"/>
        </w:rPr>
        <w:t>.,</w:t>
      </w:r>
      <w:r w:rsidRPr="00882D2B">
        <w:rPr>
          <w:lang w:val="en-IE"/>
        </w:rPr>
        <w:t xml:space="preserve"> </w:t>
      </w:r>
      <w:r w:rsidRPr="00882D2B">
        <w:rPr>
          <w:b/>
          <w:bCs/>
          <w:lang w:val="en-IE"/>
        </w:rPr>
        <w:t>4</w:t>
      </w:r>
      <w:r w:rsidR="00FA5FEB" w:rsidRPr="00882D2B">
        <w:rPr>
          <w:lang w:val="en-IE"/>
        </w:rPr>
        <w:t xml:space="preserve">, </w:t>
      </w:r>
      <w:r w:rsidRPr="00882D2B">
        <w:rPr>
          <w:lang w:val="en-IE"/>
        </w:rPr>
        <w:t>87</w:t>
      </w:r>
      <w:r w:rsidR="00FA5FEB" w:rsidRPr="00882D2B">
        <w:rPr>
          <w:lang w:val="en-IE"/>
        </w:rPr>
        <w:t>–</w:t>
      </w:r>
      <w:r w:rsidRPr="00882D2B">
        <w:rPr>
          <w:lang w:val="en-IE"/>
        </w:rPr>
        <w:t xml:space="preserve">109. </w:t>
      </w:r>
      <w:proofErr w:type="spellStart"/>
      <w:r w:rsidRPr="00882D2B">
        <w:rPr>
          <w:lang w:val="en-IE"/>
        </w:rPr>
        <w:t>doi</w:t>
      </w:r>
      <w:proofErr w:type="spellEnd"/>
      <w:r w:rsidRPr="00882D2B">
        <w:rPr>
          <w:lang w:val="en-IE"/>
        </w:rPr>
        <w:t xml:space="preserve">: 10.1146/annurev-animal-021815-111311. </w:t>
      </w:r>
    </w:p>
    <w:p w14:paraId="5EDC09CA" w14:textId="6A7539FF" w:rsidR="00275DEA" w:rsidRDefault="00275DEA" w:rsidP="00275DEA">
      <w:pPr>
        <w:pStyle w:val="Ref"/>
        <w:ind w:left="0" w:firstLine="0"/>
        <w:rPr>
          <w:lang w:val="en-IE"/>
        </w:rPr>
      </w:pPr>
      <w:r w:rsidRPr="00882D2B">
        <w:rPr>
          <w:smallCaps/>
          <w:lang w:val="en-IE"/>
        </w:rPr>
        <w:t>Wood P.R., Corner L.A. &amp; Plackett P.</w:t>
      </w:r>
      <w:r w:rsidRPr="00882D2B">
        <w:rPr>
          <w:lang w:val="en-IE"/>
        </w:rPr>
        <w:t xml:space="preserve"> (1990). Development of a simple, rapid in vitro cellular assay for bovine tuberculosis based on the production of gamma interferon. </w:t>
      </w:r>
      <w:r w:rsidRPr="00882D2B">
        <w:rPr>
          <w:i/>
          <w:iCs/>
          <w:lang w:val="en-IE"/>
        </w:rPr>
        <w:t>Res. Vet. Sci</w:t>
      </w:r>
      <w:r w:rsidRPr="00882D2B">
        <w:rPr>
          <w:lang w:val="en-IE"/>
        </w:rPr>
        <w:t xml:space="preserve">., </w:t>
      </w:r>
      <w:r w:rsidRPr="00882D2B">
        <w:rPr>
          <w:b/>
          <w:bCs/>
          <w:lang w:val="en-IE"/>
        </w:rPr>
        <w:t>49</w:t>
      </w:r>
      <w:r w:rsidRPr="00882D2B">
        <w:rPr>
          <w:lang w:val="en-IE"/>
        </w:rPr>
        <w:t>, 46–49.</w:t>
      </w:r>
    </w:p>
    <w:p w14:paraId="042238CB" w14:textId="13E04F7C" w:rsidR="0015316B" w:rsidRPr="00882D2B" w:rsidRDefault="0015316B" w:rsidP="0041378A">
      <w:pPr>
        <w:pStyle w:val="rtoiles"/>
        <w:spacing w:line="240" w:lineRule="auto"/>
        <w:rPr>
          <w:lang w:val="en-IE"/>
        </w:rPr>
      </w:pPr>
      <w:bookmarkStart w:id="19" w:name="resmicr"/>
      <w:bookmarkEnd w:id="11"/>
      <w:r w:rsidRPr="00882D2B">
        <w:rPr>
          <w:lang w:val="en-IE"/>
        </w:rPr>
        <w:t>*</w:t>
      </w:r>
      <w:r w:rsidRPr="00882D2B">
        <w:rPr>
          <w:lang w:val="en-IE"/>
        </w:rPr>
        <w:br/>
        <w:t>*</w:t>
      </w:r>
      <w:r w:rsidR="00140119" w:rsidRPr="00882D2B">
        <w:rPr>
          <w:lang w:val="en-IE"/>
        </w:rPr>
        <w:t xml:space="preserve"> </w:t>
      </w:r>
      <w:r w:rsidR="001F0456" w:rsidRPr="00882D2B">
        <w:rPr>
          <w:lang w:val="en-IE"/>
        </w:rPr>
        <w:t xml:space="preserve">  </w:t>
      </w:r>
      <w:r w:rsidRPr="00882D2B">
        <w:rPr>
          <w:lang w:val="en-IE"/>
        </w:rPr>
        <w:t>*</w:t>
      </w:r>
    </w:p>
    <w:bookmarkEnd w:id="19"/>
    <w:p w14:paraId="2FE97533" w14:textId="2BF64909" w:rsidR="0015316B" w:rsidRPr="00882D2B" w:rsidRDefault="0015316B" w:rsidP="003B4709">
      <w:pPr>
        <w:spacing w:before="120" w:after="240"/>
        <w:jc w:val="center"/>
        <w:rPr>
          <w:rFonts w:ascii="Arial" w:hAnsi="Arial" w:cs="Arial"/>
          <w:sz w:val="18"/>
          <w:szCs w:val="18"/>
          <w:lang w:val="en-IE"/>
        </w:rPr>
      </w:pPr>
      <w:r w:rsidRPr="00882D2B">
        <w:rPr>
          <w:rStyle w:val="ReflabnoteCar"/>
          <w:b/>
          <w:bCs/>
          <w:lang w:val="en-IE"/>
        </w:rPr>
        <w:t>NB:</w:t>
      </w:r>
      <w:r w:rsidRPr="00882D2B">
        <w:rPr>
          <w:rStyle w:val="ReflabnoteCar"/>
          <w:lang w:val="en-IE"/>
        </w:rPr>
        <w:t xml:space="preserve"> There are OIE Reference Laboratories for </w:t>
      </w:r>
      <w:r w:rsidR="001F0456" w:rsidRPr="00882D2B">
        <w:rPr>
          <w:rFonts w:ascii="Arial" w:hAnsi="Arial" w:cs="Arial"/>
          <w:sz w:val="18"/>
          <w:szCs w:val="18"/>
          <w:lang w:val="en-IE"/>
        </w:rPr>
        <w:t xml:space="preserve">bovine </w:t>
      </w:r>
      <w:r w:rsidRPr="00882D2B">
        <w:rPr>
          <w:rFonts w:ascii="Arial" w:hAnsi="Arial" w:cs="Arial"/>
          <w:sz w:val="18"/>
          <w:szCs w:val="18"/>
          <w:lang w:val="en-IE"/>
        </w:rPr>
        <w:t>tuberculosis</w:t>
      </w:r>
      <w:r w:rsidRPr="00882D2B">
        <w:rPr>
          <w:rStyle w:val="ReflabnoteCar"/>
          <w:lang w:val="en-IE"/>
        </w:rPr>
        <w:br/>
        <w:t xml:space="preserve">(see Table in Part 4 of this </w:t>
      </w:r>
      <w:r w:rsidRPr="00882D2B">
        <w:rPr>
          <w:rFonts w:ascii="Arial" w:hAnsi="Arial" w:cs="Arial"/>
          <w:i/>
          <w:iCs/>
          <w:sz w:val="18"/>
          <w:szCs w:val="18"/>
          <w:lang w:val="en-IE"/>
        </w:rPr>
        <w:t xml:space="preserve">Terrestrial Manual </w:t>
      </w:r>
      <w:r w:rsidRPr="00882D2B">
        <w:rPr>
          <w:rStyle w:val="ReflabnoteCar"/>
          <w:lang w:val="en-IE"/>
        </w:rPr>
        <w:t xml:space="preserve">or consult the OIE Web site for the most up-to-date list: </w:t>
      </w:r>
      <w:hyperlink r:id="rId28" w:anchor="ui-id-3" w:history="1">
        <w:r w:rsidR="00DF0CB9" w:rsidRPr="004327C5">
          <w:rPr>
            <w:rStyle w:val="Hyperlink"/>
            <w:rFonts w:ascii="Arial" w:hAnsi="Arial" w:cs="Arial"/>
            <w:sz w:val="18"/>
            <w:szCs w:val="18"/>
          </w:rPr>
          <w:t>https://www.oie.int/en/what-we-offer/expertise-network/reference-laboratories/#ui-id-3</w:t>
        </w:r>
      </w:hyperlink>
      <w:hyperlink r:id="rId29" w:history="1"/>
      <w:r w:rsidRPr="00882D2B">
        <w:rPr>
          <w:rStyle w:val="ReflabnoteCar"/>
          <w:lang w:val="en-IE"/>
        </w:rPr>
        <w:t xml:space="preserve">). </w:t>
      </w:r>
      <w:r w:rsidRPr="00882D2B">
        <w:rPr>
          <w:rStyle w:val="ReflabnoteCar"/>
          <w:lang w:val="en-IE"/>
        </w:rPr>
        <w:br/>
      </w:r>
      <w:r w:rsidRPr="00882D2B">
        <w:rPr>
          <w:rFonts w:ascii="Arial" w:hAnsi="Arial" w:cs="Arial"/>
          <w:sz w:val="18"/>
          <w:szCs w:val="18"/>
          <w:lang w:val="en-IE"/>
        </w:rPr>
        <w:t xml:space="preserve">Please contact the OIE Reference Laboratories for any further information on </w:t>
      </w:r>
      <w:r w:rsidRPr="00882D2B">
        <w:rPr>
          <w:rFonts w:ascii="Arial" w:hAnsi="Arial" w:cs="Arial"/>
          <w:sz w:val="18"/>
          <w:szCs w:val="18"/>
          <w:lang w:val="en-IE"/>
        </w:rPr>
        <w:br/>
        <w:t>diagnostic tests, reagents and vaccines for bovine tuberculosis</w:t>
      </w:r>
    </w:p>
    <w:p w14:paraId="3FEF64C0" w14:textId="29FC00EC" w:rsidR="00CC5CC9" w:rsidRPr="00861AC4" w:rsidRDefault="0015316B" w:rsidP="00882D2B">
      <w:pPr>
        <w:spacing w:after="240"/>
        <w:jc w:val="center"/>
        <w:rPr>
          <w:lang w:val="en-IE"/>
        </w:rPr>
      </w:pPr>
      <w:r w:rsidRPr="00882D2B">
        <w:rPr>
          <w:rFonts w:ascii="Arial" w:hAnsi="Arial" w:cs="Arial"/>
          <w:smallCaps/>
          <w:sz w:val="18"/>
          <w:szCs w:val="18"/>
          <w:lang w:val="en-IE"/>
        </w:rPr>
        <w:t>NB: First adopted in 1989</w:t>
      </w:r>
      <w:r w:rsidR="002432E5">
        <w:rPr>
          <w:rFonts w:ascii="Arial" w:hAnsi="Arial" w:cs="Arial"/>
          <w:smallCaps/>
          <w:sz w:val="18"/>
          <w:szCs w:val="18"/>
          <w:lang w:val="en-IE"/>
        </w:rPr>
        <w:t xml:space="preserve"> as Bovine tuberculosis.</w:t>
      </w:r>
      <w:r w:rsidRPr="00882D2B">
        <w:rPr>
          <w:rFonts w:ascii="Arial" w:hAnsi="Arial" w:cs="Arial"/>
          <w:smallCaps/>
          <w:sz w:val="18"/>
          <w:szCs w:val="18"/>
          <w:lang w:val="en-IE"/>
        </w:rPr>
        <w:t xml:space="preserve"> Most recent updates adopted in 2009</w:t>
      </w:r>
    </w:p>
    <w:sectPr w:rsidR="00CC5CC9" w:rsidRPr="00861AC4" w:rsidSect="00A45C13">
      <w:headerReference w:type="even" r:id="rId30"/>
      <w:headerReference w:type="default" r:id="rId31"/>
      <w:footerReference w:type="even" r:id="rId32"/>
      <w:footerReference w:type="default" r:id="rId33"/>
      <w:headerReference w:type="first" r:id="rId34"/>
      <w:footerReference w:type="first" r:id="rId35"/>
      <w:type w:val="oddPage"/>
      <w:pgSz w:w="11907" w:h="16840" w:code="9"/>
      <w:pgMar w:top="-1418" w:right="1418" w:bottom="1418" w:left="1418" w:header="567" w:footer="567" w:gutter="0"/>
      <w:paperSrc w:first="259" w:other="259"/>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7F4A" w14:textId="77777777" w:rsidR="00AE361A" w:rsidRDefault="00AE361A">
      <w:r>
        <w:separator/>
      </w:r>
    </w:p>
  </w:endnote>
  <w:endnote w:type="continuationSeparator" w:id="0">
    <w:p w14:paraId="23149618" w14:textId="77777777" w:rsidR="00AE361A" w:rsidRDefault="00AE361A">
      <w:r>
        <w:continuationSeparator/>
      </w:r>
    </w:p>
  </w:endnote>
  <w:endnote w:type="continuationNotice" w:id="1">
    <w:p w14:paraId="03916D71" w14:textId="77777777" w:rsidR="00AE361A" w:rsidRDefault="00AE3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4927" w14:textId="1BC7A4C3" w:rsidR="00C31C3D" w:rsidRPr="00A45C13" w:rsidRDefault="00C31C3D" w:rsidP="00AC49E1">
    <w:pPr>
      <w:pBdr>
        <w:top w:val="single" w:sz="6" w:space="5" w:color="auto"/>
      </w:pBdr>
      <w:tabs>
        <w:tab w:val="right" w:pos="9072"/>
      </w:tabs>
      <w:spacing w:line="240" w:lineRule="exact"/>
    </w:pPr>
    <w:r>
      <w:rPr>
        <w:rFonts w:ascii="Ottawa" w:hAnsi="Ottawa" w:cs="Ottawa"/>
        <w:sz w:val="22"/>
        <w:szCs w:val="22"/>
      </w:rPr>
      <w:fldChar w:fldCharType="begin"/>
    </w:r>
    <w:r>
      <w:rPr>
        <w:rFonts w:ascii="Ottawa" w:hAnsi="Ottawa" w:cs="Ottawa"/>
        <w:sz w:val="22"/>
        <w:szCs w:val="22"/>
      </w:rPr>
      <w:instrText>PAGE</w:instrText>
    </w:r>
    <w:r>
      <w:rPr>
        <w:rFonts w:ascii="Ottawa" w:hAnsi="Ottawa" w:cs="Ottawa"/>
        <w:sz w:val="22"/>
        <w:szCs w:val="22"/>
      </w:rPr>
      <w:fldChar w:fldCharType="separate"/>
    </w:r>
    <w:r>
      <w:rPr>
        <w:rFonts w:ascii="Ottawa" w:hAnsi="Ottawa" w:cs="Ottawa"/>
      </w:rPr>
      <w:t>1</w:t>
    </w:r>
    <w:r>
      <w:rPr>
        <w:rFonts w:ascii="Ottawa" w:hAnsi="Ottawa" w:cs="Ottawa"/>
        <w:sz w:val="22"/>
        <w:szCs w:val="22"/>
      </w:rPr>
      <w:fldChar w:fldCharType="end"/>
    </w:r>
    <w:r>
      <w:rPr>
        <w:rFonts w:ascii="Ottawa" w:hAnsi="Ottawa" w:cs="Ottawa"/>
        <w:sz w:val="22"/>
        <w:szCs w:val="22"/>
      </w:rPr>
      <w:tab/>
      <w:t xml:space="preserve">OIE </w:t>
    </w:r>
    <w:r w:rsidRPr="006F1873">
      <w:rPr>
        <w:rFonts w:ascii="Ottawa" w:hAnsi="Ottawa" w:cs="Ottawa"/>
        <w:i/>
        <w:iCs/>
        <w:sz w:val="22"/>
        <w:szCs w:val="22"/>
      </w:rPr>
      <w:t>Terrestrial</w:t>
    </w:r>
    <w:r>
      <w:rPr>
        <w:rFonts w:ascii="Ottawa" w:hAnsi="Ottawa" w:cs="Ottawa"/>
        <w:sz w:val="22"/>
        <w:szCs w:val="22"/>
      </w:rPr>
      <w:t xml:space="preserve"> </w:t>
    </w:r>
    <w:r>
      <w:rPr>
        <w:rFonts w:ascii="Ottawa" w:hAnsi="Ottawa" w:cs="Ottawa"/>
        <w:i/>
        <w:iCs/>
        <w:sz w:val="22"/>
        <w:szCs w:val="22"/>
      </w:rPr>
      <w:t>Manual</w:t>
    </w:r>
    <w:r>
      <w:rPr>
        <w:rFonts w:ascii="Ottawa" w:hAnsi="Ottawa" w:cs="Ottawa"/>
        <w:sz w:val="22"/>
        <w:szCs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3560" w14:textId="77777777" w:rsidR="00C31C3D" w:rsidRPr="00A45C13" w:rsidRDefault="00C31C3D" w:rsidP="00AC49E1">
    <w:pPr>
      <w:pBdr>
        <w:top w:val="single" w:sz="6" w:space="5" w:color="auto"/>
      </w:pBdr>
      <w:tabs>
        <w:tab w:val="right" w:pos="9072"/>
      </w:tabs>
      <w:spacing w:line="240" w:lineRule="exact"/>
    </w:pPr>
    <w:r>
      <w:rPr>
        <w:rFonts w:ascii="Ottawa" w:hAnsi="Ottawa" w:cs="Ottawa"/>
        <w:sz w:val="22"/>
        <w:szCs w:val="22"/>
      </w:rPr>
      <w:t xml:space="preserve">OIE </w:t>
    </w:r>
    <w:r w:rsidRPr="006F1873">
      <w:rPr>
        <w:rFonts w:ascii="Ottawa" w:hAnsi="Ottawa" w:cs="Ottawa"/>
        <w:i/>
        <w:iCs/>
        <w:sz w:val="22"/>
        <w:szCs w:val="22"/>
      </w:rPr>
      <w:t>Terrestrial</w:t>
    </w:r>
    <w:r>
      <w:rPr>
        <w:rFonts w:ascii="Ottawa" w:hAnsi="Ottawa" w:cs="Ottawa"/>
        <w:sz w:val="22"/>
        <w:szCs w:val="22"/>
      </w:rPr>
      <w:t xml:space="preserve"> </w:t>
    </w:r>
    <w:r>
      <w:rPr>
        <w:rFonts w:ascii="Ottawa" w:hAnsi="Ottawa" w:cs="Ottawa"/>
        <w:i/>
        <w:iCs/>
        <w:sz w:val="22"/>
        <w:szCs w:val="22"/>
      </w:rPr>
      <w:t>Manual</w:t>
    </w:r>
    <w:r>
      <w:rPr>
        <w:rFonts w:ascii="Ottawa" w:hAnsi="Ottawa" w:cs="Ottawa"/>
        <w:sz w:val="22"/>
        <w:szCs w:val="22"/>
      </w:rPr>
      <w:t xml:space="preserve"> 2022</w:t>
    </w:r>
    <w:r>
      <w:rPr>
        <w:rFonts w:ascii="Ottawa" w:hAnsi="Ottawa" w:cs="Ottawa"/>
        <w:sz w:val="22"/>
        <w:szCs w:val="22"/>
      </w:rPr>
      <w:tab/>
    </w:r>
    <w:r>
      <w:rPr>
        <w:rFonts w:ascii="Ottawa" w:hAnsi="Ottawa" w:cs="Ottawa"/>
        <w:sz w:val="22"/>
        <w:szCs w:val="22"/>
      </w:rPr>
      <w:fldChar w:fldCharType="begin"/>
    </w:r>
    <w:r>
      <w:rPr>
        <w:rFonts w:ascii="Ottawa" w:hAnsi="Ottawa" w:cs="Ottawa"/>
        <w:sz w:val="22"/>
        <w:szCs w:val="22"/>
      </w:rPr>
      <w:instrText>PAGE</w:instrText>
    </w:r>
    <w:r>
      <w:rPr>
        <w:rFonts w:ascii="Ottawa" w:hAnsi="Ottawa" w:cs="Ottawa"/>
        <w:sz w:val="22"/>
        <w:szCs w:val="22"/>
      </w:rPr>
      <w:fldChar w:fldCharType="separate"/>
    </w:r>
    <w:r>
      <w:rPr>
        <w:rFonts w:ascii="Ottawa" w:hAnsi="Ottawa" w:cs="Ottawa"/>
      </w:rPr>
      <w:t>1</w:t>
    </w:r>
    <w:r>
      <w:rPr>
        <w:rFonts w:ascii="Ottawa" w:hAnsi="Ottawa" w:cs="Ottaw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170A" w14:textId="1FBEC47A" w:rsidR="00C31C3D" w:rsidRDefault="00C31C3D" w:rsidP="00AC49E1">
    <w:pPr>
      <w:pBdr>
        <w:top w:val="single" w:sz="6" w:space="5" w:color="auto"/>
      </w:pBdr>
      <w:tabs>
        <w:tab w:val="right" w:pos="9072"/>
      </w:tabs>
      <w:spacing w:line="240" w:lineRule="exact"/>
    </w:pPr>
    <w:r>
      <w:rPr>
        <w:rFonts w:ascii="Ottawa" w:hAnsi="Ottawa" w:cs="Ottawa"/>
        <w:sz w:val="22"/>
        <w:szCs w:val="22"/>
      </w:rPr>
      <w:t xml:space="preserve">OIE </w:t>
    </w:r>
    <w:r w:rsidRPr="006F1873">
      <w:rPr>
        <w:rFonts w:ascii="Ottawa" w:hAnsi="Ottawa" w:cs="Ottawa"/>
        <w:i/>
        <w:iCs/>
        <w:sz w:val="22"/>
        <w:szCs w:val="22"/>
      </w:rPr>
      <w:t>Terrestrial</w:t>
    </w:r>
    <w:r>
      <w:rPr>
        <w:rFonts w:ascii="Ottawa" w:hAnsi="Ottawa" w:cs="Ottawa"/>
        <w:sz w:val="22"/>
        <w:szCs w:val="22"/>
      </w:rPr>
      <w:t xml:space="preserve"> </w:t>
    </w:r>
    <w:r>
      <w:rPr>
        <w:rFonts w:ascii="Ottawa" w:hAnsi="Ottawa" w:cs="Ottawa"/>
        <w:i/>
        <w:iCs/>
        <w:sz w:val="22"/>
        <w:szCs w:val="22"/>
      </w:rPr>
      <w:t>Manual</w:t>
    </w:r>
    <w:r>
      <w:rPr>
        <w:rFonts w:ascii="Ottawa" w:hAnsi="Ottawa" w:cs="Ottawa"/>
        <w:sz w:val="22"/>
        <w:szCs w:val="22"/>
      </w:rPr>
      <w:t xml:space="preserve"> 2022</w:t>
    </w:r>
    <w:r>
      <w:rPr>
        <w:rFonts w:ascii="Ottawa" w:hAnsi="Ottawa" w:cs="Ottawa"/>
        <w:sz w:val="22"/>
        <w:szCs w:val="22"/>
      </w:rPr>
      <w:tab/>
    </w:r>
    <w:r>
      <w:rPr>
        <w:rFonts w:ascii="Ottawa" w:hAnsi="Ottawa" w:cs="Ottawa"/>
        <w:sz w:val="22"/>
        <w:szCs w:val="22"/>
      </w:rPr>
      <w:fldChar w:fldCharType="begin"/>
    </w:r>
    <w:r>
      <w:rPr>
        <w:rFonts w:ascii="Ottawa" w:hAnsi="Ottawa" w:cs="Ottawa"/>
        <w:sz w:val="22"/>
        <w:szCs w:val="22"/>
      </w:rPr>
      <w:instrText>PAGE</w:instrText>
    </w:r>
    <w:r>
      <w:rPr>
        <w:rFonts w:ascii="Ottawa" w:hAnsi="Ottawa" w:cs="Ottawa"/>
        <w:sz w:val="22"/>
        <w:szCs w:val="22"/>
      </w:rPr>
      <w:fldChar w:fldCharType="separate"/>
    </w:r>
    <w:r>
      <w:rPr>
        <w:rFonts w:ascii="Ottawa" w:hAnsi="Ottawa" w:cs="Ottawa"/>
      </w:rPr>
      <w:t>1</w:t>
    </w:r>
    <w:r>
      <w:rPr>
        <w:rFonts w:ascii="Ottawa" w:hAnsi="Ottawa" w:cs="Ottaw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898C" w14:textId="77777777" w:rsidR="00AE361A" w:rsidRDefault="00AE361A">
      <w:r>
        <w:separator/>
      </w:r>
    </w:p>
  </w:footnote>
  <w:footnote w:type="continuationSeparator" w:id="0">
    <w:p w14:paraId="5EC1F656" w14:textId="77777777" w:rsidR="00AE361A" w:rsidRDefault="00AE361A">
      <w:r>
        <w:continuationSeparator/>
      </w:r>
    </w:p>
  </w:footnote>
  <w:footnote w:type="continuationNotice" w:id="1">
    <w:p w14:paraId="697F395E" w14:textId="77777777" w:rsidR="00AE361A" w:rsidRDefault="00AE361A"/>
  </w:footnote>
  <w:footnote w:id="2">
    <w:p w14:paraId="55FFBEEC" w14:textId="77777777" w:rsidR="00C31C3D" w:rsidRPr="00A12331" w:rsidRDefault="00C31C3D" w:rsidP="00785685">
      <w:pPr>
        <w:pStyle w:val="FootnoteText"/>
        <w:spacing w:line="240" w:lineRule="auto"/>
        <w:ind w:left="426" w:hanging="426"/>
        <w:rPr>
          <w:rFonts w:ascii="Arial" w:hAnsi="Arial" w:cs="Arial"/>
          <w:sz w:val="16"/>
          <w:szCs w:val="16"/>
          <w:lang w:val="fr-FR"/>
        </w:rPr>
      </w:pPr>
      <w:r w:rsidRPr="00A12331">
        <w:rPr>
          <w:rStyle w:val="FootnoteReference"/>
          <w:rFonts w:ascii="Arial" w:hAnsi="Arial" w:cs="Arial"/>
          <w:sz w:val="16"/>
          <w:szCs w:val="16"/>
          <w:vertAlign w:val="baseline"/>
        </w:rPr>
        <w:footnoteRef/>
      </w:r>
      <w:r w:rsidRPr="00A12331">
        <w:rPr>
          <w:rFonts w:ascii="Arial" w:hAnsi="Arial" w:cs="Arial"/>
          <w:sz w:val="16"/>
          <w:szCs w:val="16"/>
        </w:rPr>
        <w:t xml:space="preserve"> </w:t>
      </w:r>
      <w:r w:rsidRPr="00A12331">
        <w:rPr>
          <w:rFonts w:ascii="Arial" w:hAnsi="Arial" w:cs="Arial"/>
          <w:sz w:val="16"/>
          <w:szCs w:val="16"/>
          <w:lang w:val="fr-FR"/>
        </w:rPr>
        <w:tab/>
      </w:r>
      <w:hyperlink r:id="rId1" w:history="1">
        <w:r w:rsidRPr="00A12331">
          <w:rPr>
            <w:rStyle w:val="Hyperlink"/>
            <w:rFonts w:ascii="Arial" w:hAnsi="Arial" w:cs="Arial"/>
            <w:sz w:val="16"/>
            <w:szCs w:val="16"/>
            <w:u w:val="none"/>
            <w:lang w:val="fr-FR"/>
          </w:rPr>
          <w:t>http://www.oie.int/en/animal-health-in-the-world/the-world-animal-health-information-system/the-world-animal-health-information-system/</w:t>
        </w:r>
      </w:hyperlink>
      <w:r w:rsidRPr="00A12331">
        <w:rPr>
          <w:rFonts w:ascii="Arial" w:hAnsi="Arial" w:cs="Arial"/>
          <w:sz w:val="16"/>
          <w:szCs w:val="16"/>
          <w:lang w:val="fr-FR"/>
        </w:rPr>
        <w:t xml:space="preserve"> </w:t>
      </w:r>
    </w:p>
  </w:footnote>
  <w:footnote w:id="3">
    <w:p w14:paraId="42430EB4" w14:textId="05D5C281" w:rsidR="00C31C3D" w:rsidRPr="00785685" w:rsidRDefault="00C31C3D" w:rsidP="00140119">
      <w:pPr>
        <w:pStyle w:val="FootnoteText"/>
        <w:spacing w:line="240" w:lineRule="auto"/>
        <w:ind w:left="425" w:hanging="425"/>
        <w:rPr>
          <w:rFonts w:ascii="Arial" w:hAnsi="Arial" w:cs="Arial"/>
          <w:sz w:val="16"/>
          <w:szCs w:val="16"/>
          <w:lang w:val="fr-FR"/>
        </w:rPr>
      </w:pPr>
      <w:r w:rsidRPr="00140119">
        <w:rPr>
          <w:rStyle w:val="FootnoteReference"/>
          <w:rFonts w:ascii="Arial" w:hAnsi="Arial" w:cs="Arial"/>
          <w:sz w:val="16"/>
          <w:szCs w:val="16"/>
          <w:vertAlign w:val="baseline"/>
        </w:rPr>
        <w:footnoteRef/>
      </w:r>
      <w:r w:rsidRPr="00785685">
        <w:rPr>
          <w:rFonts w:ascii="Arial" w:hAnsi="Arial" w:cs="Arial"/>
          <w:sz w:val="16"/>
          <w:szCs w:val="16"/>
          <w:lang w:val="fr-FR"/>
        </w:rPr>
        <w:t xml:space="preserve"> </w:t>
      </w:r>
      <w:r w:rsidRPr="00785685">
        <w:rPr>
          <w:rFonts w:ascii="Arial" w:hAnsi="Arial" w:cs="Arial"/>
          <w:sz w:val="16"/>
          <w:szCs w:val="16"/>
          <w:lang w:val="fr-FR"/>
        </w:rPr>
        <w:tab/>
      </w:r>
      <w:hyperlink r:id="rId2" w:history="1">
        <w:r w:rsidRPr="00785685">
          <w:rPr>
            <w:rStyle w:val="Hyperlink"/>
            <w:rFonts w:ascii="Arial" w:hAnsi="Arial" w:cs="Arial"/>
            <w:sz w:val="16"/>
            <w:szCs w:val="16"/>
            <w:lang w:val="fr-FR"/>
          </w:rPr>
          <w:t>www.mbovis.org</w:t>
        </w:r>
      </w:hyperlink>
      <w:r w:rsidRPr="00785685">
        <w:rPr>
          <w:rFonts w:ascii="Arial" w:hAnsi="Arial" w:cs="Arial"/>
          <w:sz w:val="16"/>
          <w:szCs w:val="16"/>
          <w:lang w:val="fr-FR"/>
        </w:rPr>
        <w:t xml:space="preserve">; </w:t>
      </w:r>
      <w:hyperlink r:id="rId3" w:history="1">
        <w:r w:rsidRPr="00785685">
          <w:rPr>
            <w:rStyle w:val="Hyperlink"/>
            <w:rFonts w:ascii="Arial" w:hAnsi="Arial" w:cs="Arial"/>
            <w:sz w:val="16"/>
            <w:szCs w:val="16"/>
            <w:lang w:val="fr-FR"/>
          </w:rPr>
          <w:t>www.pasteur-guadeloupe.fr:8081/SITVIT2/index.jsp</w:t>
        </w:r>
      </w:hyperlink>
      <w:r w:rsidRPr="00785685">
        <w:rPr>
          <w:rFonts w:ascii="Arial" w:hAnsi="Arial" w:cs="Arial"/>
          <w:sz w:val="16"/>
          <w:szCs w:val="16"/>
          <w:lang w:val="fr-FR"/>
        </w:rPr>
        <w:t xml:space="preserve"> </w:t>
      </w:r>
    </w:p>
  </w:footnote>
  <w:footnote w:id="4">
    <w:p w14:paraId="0444729E" w14:textId="63FCC6BE" w:rsidR="00C31C3D" w:rsidRPr="00847635" w:rsidRDefault="00C31C3D" w:rsidP="001920AE">
      <w:pPr>
        <w:pStyle w:val="11Para"/>
        <w:spacing w:after="0"/>
        <w:ind w:left="426" w:hanging="426"/>
        <w:rPr>
          <w:sz w:val="16"/>
          <w:szCs w:val="16"/>
          <w:lang w:val="fr-FR"/>
        </w:rPr>
      </w:pPr>
      <w:r w:rsidRPr="00D14F19">
        <w:rPr>
          <w:rStyle w:val="FootnoteReference"/>
          <w:sz w:val="16"/>
          <w:szCs w:val="16"/>
          <w:vertAlign w:val="baseline"/>
        </w:rPr>
        <w:footnoteRef/>
      </w:r>
      <w:r w:rsidRPr="00847635">
        <w:rPr>
          <w:sz w:val="16"/>
          <w:szCs w:val="16"/>
          <w:lang w:val="fr-FR"/>
        </w:rPr>
        <w:t xml:space="preserve"> </w:t>
      </w:r>
      <w:r w:rsidRPr="00847635">
        <w:rPr>
          <w:sz w:val="16"/>
          <w:szCs w:val="16"/>
          <w:lang w:val="fr-FR"/>
        </w:rPr>
        <w:tab/>
      </w:r>
      <w:hyperlink r:id="rId4" w:history="1">
        <w:r w:rsidRPr="00847635">
          <w:rPr>
            <w:rStyle w:val="Hyperlink"/>
            <w:sz w:val="16"/>
            <w:szCs w:val="16"/>
            <w:lang w:val="fr-FR"/>
          </w:rPr>
          <w:t>https://www.oie.int/en/what-we-offer/veterinary-products/diagnostic-kits/the-register-of-diagnostic-kits/</w:t>
        </w:r>
      </w:hyperlink>
      <w:r w:rsidRPr="00847635">
        <w:rPr>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F5CF" w14:textId="77777777" w:rsidR="00C31C3D" w:rsidRPr="00A45C13" w:rsidRDefault="00C31C3D" w:rsidP="00AC49E1">
    <w:pPr>
      <w:pBdr>
        <w:bottom w:val="single" w:sz="6" w:space="1" w:color="auto"/>
      </w:pBdr>
      <w:ind w:right="-1"/>
      <w:jc w:val="center"/>
      <w:rPr>
        <w:rFonts w:ascii="Ottawa" w:hAnsi="Ottawa"/>
      </w:rPr>
    </w:pPr>
    <w:r w:rsidRPr="00A45C13">
      <w:rPr>
        <w:rFonts w:ascii="Ottawa" w:hAnsi="Ottawa" w:cs="Ottawa"/>
        <w:i/>
        <w:iCs/>
        <w:sz w:val="20"/>
        <w:szCs w:val="20"/>
      </w:rPr>
      <w:t xml:space="preserve">Chapter 3.1.x. –Mammalian tuberculosis </w:t>
    </w:r>
    <w:r w:rsidRPr="00A45C13">
      <w:rPr>
        <w:rFonts w:ascii="Ottawa" w:hAnsi="Ottawa" w:cstheme="minorHAnsi"/>
        <w:sz w:val="20"/>
        <w:szCs w:val="20"/>
        <w:lang w:val="en-IE"/>
      </w:rPr>
      <w:t>(</w:t>
    </w:r>
    <w:r w:rsidRPr="00A45C13">
      <w:rPr>
        <w:rFonts w:ascii="Ottawa" w:hAnsi="Ottawa" w:cstheme="minorHAnsi"/>
        <w:i/>
        <w:iCs/>
        <w:sz w:val="20"/>
        <w:szCs w:val="20"/>
      </w:rPr>
      <w:t xml:space="preserve">infection with </w:t>
    </w:r>
    <w:r w:rsidRPr="00A45C13">
      <w:rPr>
        <w:rFonts w:ascii="Ottawa" w:hAnsi="Ottawa" w:cstheme="minorHAnsi"/>
        <w:sz w:val="20"/>
        <w:szCs w:val="20"/>
      </w:rPr>
      <w:t>Mycobacterium tuberculosis</w:t>
    </w:r>
    <w:r w:rsidRPr="00A45C13">
      <w:rPr>
        <w:rFonts w:ascii="Ottawa" w:hAnsi="Ottawa" w:cstheme="minorHAnsi"/>
        <w:i/>
        <w:iCs/>
        <w:sz w:val="20"/>
        <w:szCs w:val="20"/>
      </w:rPr>
      <w:t xml:space="preserve"> complex</w:t>
    </w:r>
    <w:r w:rsidRPr="00A45C13">
      <w:rPr>
        <w:rFonts w:ascii="Ottawa" w:hAnsi="Ottawa" w:cstheme="minorHAns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529" w14:textId="66D3E469" w:rsidR="00C31C3D" w:rsidRPr="00AC49E1" w:rsidRDefault="00C31C3D" w:rsidP="00AC49E1">
    <w:pPr>
      <w:pBdr>
        <w:bottom w:val="single" w:sz="6" w:space="1" w:color="auto"/>
      </w:pBdr>
      <w:ind w:right="-1"/>
      <w:jc w:val="center"/>
      <w:rPr>
        <w:rFonts w:ascii="Ottawa" w:hAnsi="Ottawa"/>
      </w:rPr>
    </w:pPr>
    <w:r w:rsidRPr="00A45C13">
      <w:rPr>
        <w:rFonts w:ascii="Ottawa" w:hAnsi="Ottawa" w:cs="Ottawa"/>
        <w:i/>
        <w:iCs/>
        <w:sz w:val="20"/>
        <w:szCs w:val="20"/>
      </w:rPr>
      <w:t xml:space="preserve">Chapter 3.1.x. –Mammalian tuberculosis </w:t>
    </w:r>
    <w:r w:rsidRPr="00A45C13">
      <w:rPr>
        <w:rFonts w:ascii="Ottawa" w:hAnsi="Ottawa" w:cstheme="minorHAnsi"/>
        <w:sz w:val="20"/>
        <w:szCs w:val="20"/>
        <w:lang w:val="en-IE"/>
      </w:rPr>
      <w:t>(</w:t>
    </w:r>
    <w:r w:rsidRPr="00A45C13">
      <w:rPr>
        <w:rFonts w:ascii="Ottawa" w:hAnsi="Ottawa" w:cstheme="minorHAnsi"/>
        <w:i/>
        <w:iCs/>
        <w:sz w:val="20"/>
        <w:szCs w:val="20"/>
      </w:rPr>
      <w:t xml:space="preserve">infection with </w:t>
    </w:r>
    <w:r w:rsidRPr="00A45C13">
      <w:rPr>
        <w:rFonts w:ascii="Ottawa" w:hAnsi="Ottawa" w:cstheme="minorHAnsi"/>
        <w:sz w:val="20"/>
        <w:szCs w:val="20"/>
      </w:rPr>
      <w:t>Mycobacterium tuberculosis</w:t>
    </w:r>
    <w:r w:rsidRPr="00A45C13">
      <w:rPr>
        <w:rFonts w:ascii="Ottawa" w:hAnsi="Ottawa" w:cstheme="minorHAnsi"/>
        <w:i/>
        <w:iCs/>
        <w:sz w:val="20"/>
        <w:szCs w:val="20"/>
      </w:rPr>
      <w:t xml:space="preserve"> complex</w:t>
    </w:r>
    <w:r w:rsidRPr="00A45C13">
      <w:rPr>
        <w:rFonts w:ascii="Ottawa" w:hAnsi="Ottawa" w:cstheme="minorHAnsi"/>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8B1A" w14:textId="10FC05DC" w:rsidR="00C31C3D" w:rsidRPr="00E825B1" w:rsidRDefault="00C31C3D" w:rsidP="00A45C13">
    <w:pPr>
      <w:pStyle w:val="Header"/>
      <w:spacing w:line="240" w:lineRule="auto"/>
      <w:jc w:val="center"/>
      <w:rPr>
        <w:strike/>
      </w:rPr>
    </w:pPr>
    <w:r w:rsidRPr="00E825B1">
      <w:rPr>
        <w:rFonts w:ascii="Ottawa" w:hAnsi="Ottawa" w:cs="Calibri"/>
        <w:strike/>
        <w:spacing w:val="20"/>
        <w:sz w:val="18"/>
        <w:szCs w:val="18"/>
        <w:highlight w:val="yellow"/>
        <w:lang w:val="en-US"/>
      </w:rPr>
      <w:t>This chapter has been extensively revised and updated from the former chapter on bovine tuberculosis. Although some portions of the existing text have been incorporated, new text and deleted text have not been marked, in the interest of clarity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FAA6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D3F7D"/>
    <w:multiLevelType w:val="hybridMultilevel"/>
    <w:tmpl w:val="1DDC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42B"/>
    <w:multiLevelType w:val="hybridMultilevel"/>
    <w:tmpl w:val="F2E25A98"/>
    <w:lvl w:ilvl="0" w:tplc="F0767856">
      <w:start w:val="3"/>
      <w:numFmt w:val="low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F7316EE"/>
    <w:multiLevelType w:val="multilevel"/>
    <w:tmpl w:val="B1EE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B12DA"/>
    <w:multiLevelType w:val="hybridMultilevel"/>
    <w:tmpl w:val="F67478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67A4383"/>
    <w:multiLevelType w:val="hybridMultilevel"/>
    <w:tmpl w:val="BCB05BB0"/>
    <w:lvl w:ilvl="0" w:tplc="FBB88668">
      <w:start w:val="3"/>
      <w:numFmt w:val="low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9FC6FC1"/>
    <w:multiLevelType w:val="hybridMultilevel"/>
    <w:tmpl w:val="3A542CE8"/>
    <w:lvl w:ilvl="0" w:tplc="3FA60DC8">
      <w:start w:val="1"/>
      <w:numFmt w:val="upperRoman"/>
      <w:lvlText w:val="%1."/>
      <w:lvlJc w:val="left"/>
      <w:pPr>
        <w:ind w:left="1040" w:hanging="720"/>
      </w:pPr>
      <w:rPr>
        <w:rFonts w:ascii="Courier New" w:eastAsia="Courier New" w:hAnsi="Courier New" w:cs="Courier New" w:hint="default"/>
        <w:b/>
        <w:bCs/>
        <w:i w:val="0"/>
        <w:iCs w:val="0"/>
        <w:w w:val="99"/>
        <w:sz w:val="24"/>
        <w:szCs w:val="24"/>
        <w:lang w:val="en-US" w:eastAsia="en-US" w:bidi="ar-SA"/>
      </w:rPr>
    </w:lvl>
    <w:lvl w:ilvl="1" w:tplc="2C728E3C">
      <w:start w:val="1"/>
      <w:numFmt w:val="upperLetter"/>
      <w:lvlText w:val="%2."/>
      <w:lvlJc w:val="left"/>
      <w:pPr>
        <w:ind w:left="1472" w:hanging="432"/>
      </w:pPr>
      <w:rPr>
        <w:rFonts w:ascii="Courier New" w:eastAsia="Courier New" w:hAnsi="Courier New" w:cs="Courier New" w:hint="default"/>
        <w:b/>
        <w:bCs/>
        <w:i w:val="0"/>
        <w:iCs w:val="0"/>
        <w:w w:val="99"/>
        <w:sz w:val="24"/>
        <w:szCs w:val="24"/>
        <w:lang w:val="en-US" w:eastAsia="en-US" w:bidi="ar-SA"/>
      </w:rPr>
    </w:lvl>
    <w:lvl w:ilvl="2" w:tplc="127C69E4">
      <w:start w:val="1"/>
      <w:numFmt w:val="decimal"/>
      <w:lvlText w:val="%3."/>
      <w:lvlJc w:val="left"/>
      <w:pPr>
        <w:ind w:left="2192" w:hanging="432"/>
      </w:pPr>
      <w:rPr>
        <w:rFonts w:ascii="Courier New" w:eastAsia="Courier New" w:hAnsi="Courier New" w:cs="Courier New" w:hint="default"/>
        <w:b/>
        <w:bCs/>
        <w:i w:val="0"/>
        <w:iCs w:val="0"/>
        <w:w w:val="99"/>
        <w:sz w:val="24"/>
        <w:szCs w:val="24"/>
        <w:lang w:val="en-US" w:eastAsia="en-US" w:bidi="ar-SA"/>
      </w:rPr>
    </w:lvl>
    <w:lvl w:ilvl="3" w:tplc="B0065132">
      <w:start w:val="1"/>
      <w:numFmt w:val="lowerLetter"/>
      <w:lvlText w:val="%4."/>
      <w:lvlJc w:val="left"/>
      <w:pPr>
        <w:ind w:left="3200" w:hanging="720"/>
      </w:pPr>
      <w:rPr>
        <w:rFonts w:ascii="Courier New" w:eastAsia="Courier New" w:hAnsi="Courier New" w:cs="Courier New" w:hint="default"/>
        <w:b/>
        <w:bCs/>
        <w:i w:val="0"/>
        <w:iCs w:val="0"/>
        <w:w w:val="99"/>
        <w:sz w:val="24"/>
        <w:szCs w:val="24"/>
        <w:lang w:val="en-US" w:eastAsia="en-US" w:bidi="ar-SA"/>
      </w:rPr>
    </w:lvl>
    <w:lvl w:ilvl="4" w:tplc="5CB4D6A4">
      <w:numFmt w:val="bullet"/>
      <w:lvlText w:val="•"/>
      <w:lvlJc w:val="left"/>
      <w:pPr>
        <w:ind w:left="4640" w:hanging="720"/>
      </w:pPr>
      <w:rPr>
        <w:rFonts w:ascii="Courier New" w:eastAsia="Courier New" w:hAnsi="Courier New" w:cs="Courier New" w:hint="default"/>
        <w:b w:val="0"/>
        <w:bCs w:val="0"/>
        <w:i w:val="0"/>
        <w:iCs w:val="0"/>
        <w:w w:val="99"/>
        <w:sz w:val="24"/>
        <w:szCs w:val="24"/>
        <w:lang w:val="en-US" w:eastAsia="en-US" w:bidi="ar-SA"/>
      </w:rPr>
    </w:lvl>
    <w:lvl w:ilvl="5" w:tplc="D7102F16">
      <w:numFmt w:val="bullet"/>
      <w:lvlText w:val="•"/>
      <w:lvlJc w:val="left"/>
      <w:pPr>
        <w:ind w:left="3920" w:hanging="720"/>
      </w:pPr>
      <w:rPr>
        <w:rFonts w:hint="default"/>
        <w:lang w:val="en-US" w:eastAsia="en-US" w:bidi="ar-SA"/>
      </w:rPr>
    </w:lvl>
    <w:lvl w:ilvl="6" w:tplc="DDAA7CDA">
      <w:numFmt w:val="bullet"/>
      <w:lvlText w:val="•"/>
      <w:lvlJc w:val="left"/>
      <w:pPr>
        <w:ind w:left="4640" w:hanging="720"/>
      </w:pPr>
      <w:rPr>
        <w:rFonts w:hint="default"/>
        <w:lang w:val="en-US" w:eastAsia="en-US" w:bidi="ar-SA"/>
      </w:rPr>
    </w:lvl>
    <w:lvl w:ilvl="7" w:tplc="56A2EEF4">
      <w:numFmt w:val="bullet"/>
      <w:lvlText w:val="•"/>
      <w:lvlJc w:val="left"/>
      <w:pPr>
        <w:ind w:left="5925" w:hanging="720"/>
      </w:pPr>
      <w:rPr>
        <w:rFonts w:hint="default"/>
        <w:lang w:val="en-US" w:eastAsia="en-US" w:bidi="ar-SA"/>
      </w:rPr>
    </w:lvl>
    <w:lvl w:ilvl="8" w:tplc="CA86EBF4">
      <w:numFmt w:val="bullet"/>
      <w:lvlText w:val="•"/>
      <w:lvlJc w:val="left"/>
      <w:pPr>
        <w:ind w:left="7210" w:hanging="720"/>
      </w:pPr>
      <w:rPr>
        <w:rFonts w:hint="default"/>
        <w:lang w:val="en-US" w:eastAsia="en-US" w:bidi="ar-SA"/>
      </w:rPr>
    </w:lvl>
  </w:abstractNum>
  <w:abstractNum w:abstractNumId="7" w15:restartNumberingAfterBreak="0">
    <w:nsid w:val="5CF27ACA"/>
    <w:multiLevelType w:val="hybridMultilevel"/>
    <w:tmpl w:val="96329F8E"/>
    <w:lvl w:ilvl="0" w:tplc="5AF60C8C">
      <w:start w:val="2"/>
      <w:numFmt w:val="upperLetter"/>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abstractNum>
  <w:abstractNum w:abstractNumId="9"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abstractNum>
  <w:num w:numId="1">
    <w:abstractNumId w:val="8"/>
  </w:num>
  <w:num w:numId="2">
    <w:abstractNumId w:val="9"/>
  </w:num>
  <w:num w:numId="3">
    <w:abstractNumId w:val="9"/>
    <w:lvlOverride w:ilvl="0">
      <w:lvl w:ilvl="0">
        <w:start w:val="1"/>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lvlOverride>
  </w:num>
  <w:num w:numId="4">
    <w:abstractNumId w:val="2"/>
  </w:num>
  <w:num w:numId="5">
    <w:abstractNumId w:val="7"/>
  </w:num>
  <w:num w:numId="6">
    <w:abstractNumId w:val="4"/>
  </w:num>
  <w:num w:numId="7">
    <w:abstractNumId w:val="5"/>
  </w:num>
  <w:num w:numId="8">
    <w:abstractNumId w:val="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es-SV" w:vendorID="64" w:dllVersion="0" w:nlCheck="1" w:checkStyle="0"/>
  <w:activeWritingStyle w:appName="MSWord" w:lang="it-IT"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es-ES" w:vendorID="64" w:dllVersion="0" w:nlCheck="1" w:checkStyle="0"/>
  <w:activeWritingStyle w:appName="MSWord" w:lang="en-I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0"/>
  <w:activeWritingStyle w:appName="MSWord" w:lang="nl-NL" w:vendorID="64" w:dllVersion="6" w:nlCheck="1" w:checkStyle="0"/>
  <w:activeWritingStyle w:appName="MSWord" w:lang="es-SV" w:vendorID="64" w:dllVersion="6" w:nlCheck="1" w:checkStyle="0"/>
  <w:activeWritingStyle w:appName="MSWord" w:lang="de-DE" w:vendorID="64" w:dllVersion="6" w:nlCheck="1" w:checkStyle="0"/>
  <w:activeWritingStyle w:appName="MSWord" w:lang="nl-NL" w:vendorID="64" w:dllVersion="0" w:nlCheck="1" w:checkStyle="0"/>
  <w:activeWritingStyle w:appName="MSWord" w:lang="de-DE" w:vendorID="64" w:dllVersion="0" w:nlCheck="1" w:checkStyle="0"/>
  <w:proofState w:spelling="clean"/>
  <w:doNotTrackFormatting/>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20BF830-5E7B-4692-A1C2-A5A90DC22C97}"/>
    <w:docVar w:name="dgnword-eventsink" w:val="15811960"/>
  </w:docVars>
  <w:rsids>
    <w:rsidRoot w:val="00225BB5"/>
    <w:rsid w:val="00000BE7"/>
    <w:rsid w:val="000012BB"/>
    <w:rsid w:val="00001CA4"/>
    <w:rsid w:val="0000207E"/>
    <w:rsid w:val="000020BC"/>
    <w:rsid w:val="000025BA"/>
    <w:rsid w:val="0000272D"/>
    <w:rsid w:val="00002B50"/>
    <w:rsid w:val="000039DA"/>
    <w:rsid w:val="00003DC7"/>
    <w:rsid w:val="00003DF3"/>
    <w:rsid w:val="00003EF3"/>
    <w:rsid w:val="0000425D"/>
    <w:rsid w:val="00005954"/>
    <w:rsid w:val="000063B1"/>
    <w:rsid w:val="00011D77"/>
    <w:rsid w:val="000132CC"/>
    <w:rsid w:val="00014BCB"/>
    <w:rsid w:val="00014CB5"/>
    <w:rsid w:val="00016366"/>
    <w:rsid w:val="00016700"/>
    <w:rsid w:val="00016FE2"/>
    <w:rsid w:val="00017355"/>
    <w:rsid w:val="00021EC6"/>
    <w:rsid w:val="000223DB"/>
    <w:rsid w:val="000225B7"/>
    <w:rsid w:val="0002372C"/>
    <w:rsid w:val="00023B72"/>
    <w:rsid w:val="00024982"/>
    <w:rsid w:val="0002565E"/>
    <w:rsid w:val="00025A89"/>
    <w:rsid w:val="00026324"/>
    <w:rsid w:val="0002697D"/>
    <w:rsid w:val="00027582"/>
    <w:rsid w:val="00027E4B"/>
    <w:rsid w:val="00030831"/>
    <w:rsid w:val="0003235D"/>
    <w:rsid w:val="00033EF2"/>
    <w:rsid w:val="00034F20"/>
    <w:rsid w:val="00034FA7"/>
    <w:rsid w:val="0003571A"/>
    <w:rsid w:val="000368D4"/>
    <w:rsid w:val="00036F06"/>
    <w:rsid w:val="0003779F"/>
    <w:rsid w:val="00040EC3"/>
    <w:rsid w:val="00040F91"/>
    <w:rsid w:val="0004207C"/>
    <w:rsid w:val="00042292"/>
    <w:rsid w:val="00042E02"/>
    <w:rsid w:val="000437C8"/>
    <w:rsid w:val="0004462C"/>
    <w:rsid w:val="00044A4E"/>
    <w:rsid w:val="00044B1A"/>
    <w:rsid w:val="00044F4F"/>
    <w:rsid w:val="00044F7A"/>
    <w:rsid w:val="0004548A"/>
    <w:rsid w:val="00045B0A"/>
    <w:rsid w:val="0004656A"/>
    <w:rsid w:val="00046C00"/>
    <w:rsid w:val="000473D7"/>
    <w:rsid w:val="000479BB"/>
    <w:rsid w:val="00047C78"/>
    <w:rsid w:val="00047FAC"/>
    <w:rsid w:val="00047FE5"/>
    <w:rsid w:val="00050BEB"/>
    <w:rsid w:val="00050F0A"/>
    <w:rsid w:val="00051202"/>
    <w:rsid w:val="0005147A"/>
    <w:rsid w:val="000526F7"/>
    <w:rsid w:val="00053A0F"/>
    <w:rsid w:val="000541DC"/>
    <w:rsid w:val="0005431B"/>
    <w:rsid w:val="00055063"/>
    <w:rsid w:val="00055A8D"/>
    <w:rsid w:val="00055EE5"/>
    <w:rsid w:val="000568DA"/>
    <w:rsid w:val="00056FAF"/>
    <w:rsid w:val="0006046C"/>
    <w:rsid w:val="000618FA"/>
    <w:rsid w:val="00061939"/>
    <w:rsid w:val="00062A8B"/>
    <w:rsid w:val="00065823"/>
    <w:rsid w:val="00065F95"/>
    <w:rsid w:val="000663B9"/>
    <w:rsid w:val="00066843"/>
    <w:rsid w:val="00066912"/>
    <w:rsid w:val="00066E7B"/>
    <w:rsid w:val="00067110"/>
    <w:rsid w:val="00067316"/>
    <w:rsid w:val="000675EA"/>
    <w:rsid w:val="000676B2"/>
    <w:rsid w:val="0006779D"/>
    <w:rsid w:val="00067BA2"/>
    <w:rsid w:val="000703F2"/>
    <w:rsid w:val="00070ECE"/>
    <w:rsid w:val="00071699"/>
    <w:rsid w:val="0007217D"/>
    <w:rsid w:val="0007328A"/>
    <w:rsid w:val="000744F1"/>
    <w:rsid w:val="00074574"/>
    <w:rsid w:val="00076B0B"/>
    <w:rsid w:val="00076E51"/>
    <w:rsid w:val="00077751"/>
    <w:rsid w:val="00077D82"/>
    <w:rsid w:val="0008079C"/>
    <w:rsid w:val="000809D9"/>
    <w:rsid w:val="000822C9"/>
    <w:rsid w:val="00082C65"/>
    <w:rsid w:val="0008420C"/>
    <w:rsid w:val="0008446E"/>
    <w:rsid w:val="0008457C"/>
    <w:rsid w:val="000857BC"/>
    <w:rsid w:val="00085AA8"/>
    <w:rsid w:val="0008720F"/>
    <w:rsid w:val="00087F35"/>
    <w:rsid w:val="00090B2D"/>
    <w:rsid w:val="00090CEF"/>
    <w:rsid w:val="0009166A"/>
    <w:rsid w:val="00093B5F"/>
    <w:rsid w:val="00093E70"/>
    <w:rsid w:val="00093EF4"/>
    <w:rsid w:val="00094252"/>
    <w:rsid w:val="0009441C"/>
    <w:rsid w:val="00094C97"/>
    <w:rsid w:val="00094D14"/>
    <w:rsid w:val="0009505F"/>
    <w:rsid w:val="000957EB"/>
    <w:rsid w:val="000962BE"/>
    <w:rsid w:val="000966B4"/>
    <w:rsid w:val="00096A08"/>
    <w:rsid w:val="00097582"/>
    <w:rsid w:val="000A0227"/>
    <w:rsid w:val="000A1086"/>
    <w:rsid w:val="000A1214"/>
    <w:rsid w:val="000A2BED"/>
    <w:rsid w:val="000A3FD9"/>
    <w:rsid w:val="000A4562"/>
    <w:rsid w:val="000A4B90"/>
    <w:rsid w:val="000A5093"/>
    <w:rsid w:val="000A5857"/>
    <w:rsid w:val="000A6B6D"/>
    <w:rsid w:val="000A76E8"/>
    <w:rsid w:val="000B0F1F"/>
    <w:rsid w:val="000B3589"/>
    <w:rsid w:val="000B391B"/>
    <w:rsid w:val="000B5108"/>
    <w:rsid w:val="000B520C"/>
    <w:rsid w:val="000B54DD"/>
    <w:rsid w:val="000B554B"/>
    <w:rsid w:val="000B5C08"/>
    <w:rsid w:val="000B6786"/>
    <w:rsid w:val="000B6E20"/>
    <w:rsid w:val="000B6FDC"/>
    <w:rsid w:val="000B7818"/>
    <w:rsid w:val="000C2DAF"/>
    <w:rsid w:val="000C3AAA"/>
    <w:rsid w:val="000C5752"/>
    <w:rsid w:val="000C5A29"/>
    <w:rsid w:val="000C5CA3"/>
    <w:rsid w:val="000C74E0"/>
    <w:rsid w:val="000C772A"/>
    <w:rsid w:val="000D2A2A"/>
    <w:rsid w:val="000D32A8"/>
    <w:rsid w:val="000D6118"/>
    <w:rsid w:val="000D6D2B"/>
    <w:rsid w:val="000E0A96"/>
    <w:rsid w:val="000E1114"/>
    <w:rsid w:val="000E281B"/>
    <w:rsid w:val="000E2B45"/>
    <w:rsid w:val="000E3FDF"/>
    <w:rsid w:val="000E42F2"/>
    <w:rsid w:val="000E4344"/>
    <w:rsid w:val="000E4DB3"/>
    <w:rsid w:val="000E5443"/>
    <w:rsid w:val="000E5F59"/>
    <w:rsid w:val="000E69DC"/>
    <w:rsid w:val="000E7000"/>
    <w:rsid w:val="000F1764"/>
    <w:rsid w:val="000F3006"/>
    <w:rsid w:val="000F3F2D"/>
    <w:rsid w:val="000F57E1"/>
    <w:rsid w:val="000F5A88"/>
    <w:rsid w:val="000F624A"/>
    <w:rsid w:val="000F69F5"/>
    <w:rsid w:val="000F6D34"/>
    <w:rsid w:val="00101C61"/>
    <w:rsid w:val="0010213A"/>
    <w:rsid w:val="00103753"/>
    <w:rsid w:val="0010495A"/>
    <w:rsid w:val="00104F57"/>
    <w:rsid w:val="00105E17"/>
    <w:rsid w:val="001077B0"/>
    <w:rsid w:val="00110590"/>
    <w:rsid w:val="00111AC5"/>
    <w:rsid w:val="00111CB3"/>
    <w:rsid w:val="001120E0"/>
    <w:rsid w:val="00113560"/>
    <w:rsid w:val="0011378D"/>
    <w:rsid w:val="00113A9E"/>
    <w:rsid w:val="00115863"/>
    <w:rsid w:val="0011618D"/>
    <w:rsid w:val="00116300"/>
    <w:rsid w:val="001170B9"/>
    <w:rsid w:val="00122029"/>
    <w:rsid w:val="00122465"/>
    <w:rsid w:val="00123012"/>
    <w:rsid w:val="00123E55"/>
    <w:rsid w:val="00125594"/>
    <w:rsid w:val="00125CBA"/>
    <w:rsid w:val="001261BD"/>
    <w:rsid w:val="0012714D"/>
    <w:rsid w:val="001307D1"/>
    <w:rsid w:val="001316E0"/>
    <w:rsid w:val="001316ED"/>
    <w:rsid w:val="00131DBF"/>
    <w:rsid w:val="0013277E"/>
    <w:rsid w:val="00132790"/>
    <w:rsid w:val="0013285D"/>
    <w:rsid w:val="00132C05"/>
    <w:rsid w:val="00133E78"/>
    <w:rsid w:val="00134FD7"/>
    <w:rsid w:val="00135646"/>
    <w:rsid w:val="001357C9"/>
    <w:rsid w:val="0013633E"/>
    <w:rsid w:val="00136F9F"/>
    <w:rsid w:val="001370B8"/>
    <w:rsid w:val="00140119"/>
    <w:rsid w:val="00140C12"/>
    <w:rsid w:val="001411AE"/>
    <w:rsid w:val="00144A0C"/>
    <w:rsid w:val="00147DF2"/>
    <w:rsid w:val="0015084F"/>
    <w:rsid w:val="0015151E"/>
    <w:rsid w:val="001516D2"/>
    <w:rsid w:val="001517A8"/>
    <w:rsid w:val="001521F6"/>
    <w:rsid w:val="0015316B"/>
    <w:rsid w:val="00153A2F"/>
    <w:rsid w:val="00153BB8"/>
    <w:rsid w:val="00153F79"/>
    <w:rsid w:val="00155051"/>
    <w:rsid w:val="00155AD9"/>
    <w:rsid w:val="001565D6"/>
    <w:rsid w:val="00156F2C"/>
    <w:rsid w:val="001572B7"/>
    <w:rsid w:val="001576F9"/>
    <w:rsid w:val="001605F5"/>
    <w:rsid w:val="001613D7"/>
    <w:rsid w:val="001616C1"/>
    <w:rsid w:val="001628D5"/>
    <w:rsid w:val="00162AE1"/>
    <w:rsid w:val="00162E71"/>
    <w:rsid w:val="00162FA0"/>
    <w:rsid w:val="00163D11"/>
    <w:rsid w:val="001647E1"/>
    <w:rsid w:val="00164AC2"/>
    <w:rsid w:val="0016500B"/>
    <w:rsid w:val="00165331"/>
    <w:rsid w:val="001657FF"/>
    <w:rsid w:val="001661A2"/>
    <w:rsid w:val="00167756"/>
    <w:rsid w:val="00167BFE"/>
    <w:rsid w:val="00170505"/>
    <w:rsid w:val="001712C9"/>
    <w:rsid w:val="00171DB2"/>
    <w:rsid w:val="001734D6"/>
    <w:rsid w:val="0017432B"/>
    <w:rsid w:val="0017534F"/>
    <w:rsid w:val="00175BC9"/>
    <w:rsid w:val="00175D17"/>
    <w:rsid w:val="00175E4A"/>
    <w:rsid w:val="00176924"/>
    <w:rsid w:val="00180093"/>
    <w:rsid w:val="0018043D"/>
    <w:rsid w:val="001814F5"/>
    <w:rsid w:val="001821E7"/>
    <w:rsid w:val="00183414"/>
    <w:rsid w:val="00183475"/>
    <w:rsid w:val="00183DAE"/>
    <w:rsid w:val="00183FD3"/>
    <w:rsid w:val="00184167"/>
    <w:rsid w:val="001843E6"/>
    <w:rsid w:val="001846CD"/>
    <w:rsid w:val="001847D4"/>
    <w:rsid w:val="001851BB"/>
    <w:rsid w:val="001856C0"/>
    <w:rsid w:val="001861BA"/>
    <w:rsid w:val="001871D8"/>
    <w:rsid w:val="001877E2"/>
    <w:rsid w:val="00187ECD"/>
    <w:rsid w:val="00190093"/>
    <w:rsid w:val="00190272"/>
    <w:rsid w:val="0019063F"/>
    <w:rsid w:val="001920AE"/>
    <w:rsid w:val="00193566"/>
    <w:rsid w:val="00194B7A"/>
    <w:rsid w:val="001969B2"/>
    <w:rsid w:val="001A079F"/>
    <w:rsid w:val="001A1088"/>
    <w:rsid w:val="001A239E"/>
    <w:rsid w:val="001A40D3"/>
    <w:rsid w:val="001A433C"/>
    <w:rsid w:val="001A44B3"/>
    <w:rsid w:val="001A47EB"/>
    <w:rsid w:val="001A4E74"/>
    <w:rsid w:val="001A587A"/>
    <w:rsid w:val="001A5CE3"/>
    <w:rsid w:val="001A6CD6"/>
    <w:rsid w:val="001A7223"/>
    <w:rsid w:val="001B10AB"/>
    <w:rsid w:val="001B1512"/>
    <w:rsid w:val="001B1A89"/>
    <w:rsid w:val="001B1CC8"/>
    <w:rsid w:val="001B1DFE"/>
    <w:rsid w:val="001B24E0"/>
    <w:rsid w:val="001B256E"/>
    <w:rsid w:val="001B2E5C"/>
    <w:rsid w:val="001B417D"/>
    <w:rsid w:val="001B423C"/>
    <w:rsid w:val="001B4AB4"/>
    <w:rsid w:val="001B4BFA"/>
    <w:rsid w:val="001B4EBA"/>
    <w:rsid w:val="001B5056"/>
    <w:rsid w:val="001B5B77"/>
    <w:rsid w:val="001B5DB7"/>
    <w:rsid w:val="001B61D9"/>
    <w:rsid w:val="001B6ED8"/>
    <w:rsid w:val="001B6F3A"/>
    <w:rsid w:val="001B7F48"/>
    <w:rsid w:val="001B7FBA"/>
    <w:rsid w:val="001C0C0A"/>
    <w:rsid w:val="001C12D7"/>
    <w:rsid w:val="001C2351"/>
    <w:rsid w:val="001C3590"/>
    <w:rsid w:val="001C3691"/>
    <w:rsid w:val="001C3D32"/>
    <w:rsid w:val="001C43B7"/>
    <w:rsid w:val="001C4BD4"/>
    <w:rsid w:val="001C5970"/>
    <w:rsid w:val="001C5CEB"/>
    <w:rsid w:val="001C69B3"/>
    <w:rsid w:val="001C7FDB"/>
    <w:rsid w:val="001D020D"/>
    <w:rsid w:val="001D08FC"/>
    <w:rsid w:val="001D2910"/>
    <w:rsid w:val="001D29C8"/>
    <w:rsid w:val="001D6B75"/>
    <w:rsid w:val="001D7163"/>
    <w:rsid w:val="001D733C"/>
    <w:rsid w:val="001E1057"/>
    <w:rsid w:val="001E1875"/>
    <w:rsid w:val="001E196A"/>
    <w:rsid w:val="001E1CFD"/>
    <w:rsid w:val="001E1EA7"/>
    <w:rsid w:val="001E213D"/>
    <w:rsid w:val="001E222E"/>
    <w:rsid w:val="001E3D3D"/>
    <w:rsid w:val="001E46A0"/>
    <w:rsid w:val="001E4D69"/>
    <w:rsid w:val="001E585F"/>
    <w:rsid w:val="001E6D3E"/>
    <w:rsid w:val="001E7E3C"/>
    <w:rsid w:val="001F008F"/>
    <w:rsid w:val="001F0456"/>
    <w:rsid w:val="001F10DD"/>
    <w:rsid w:val="001F1252"/>
    <w:rsid w:val="001F4BA5"/>
    <w:rsid w:val="001F56AF"/>
    <w:rsid w:val="001F5CDE"/>
    <w:rsid w:val="001F6FC9"/>
    <w:rsid w:val="00200C1B"/>
    <w:rsid w:val="00200CC8"/>
    <w:rsid w:val="00201599"/>
    <w:rsid w:val="0020184A"/>
    <w:rsid w:val="0020202B"/>
    <w:rsid w:val="002025B8"/>
    <w:rsid w:val="00203058"/>
    <w:rsid w:val="00205D0B"/>
    <w:rsid w:val="00206330"/>
    <w:rsid w:val="00206B41"/>
    <w:rsid w:val="002070D7"/>
    <w:rsid w:val="00211081"/>
    <w:rsid w:val="0021219D"/>
    <w:rsid w:val="00214019"/>
    <w:rsid w:val="002147B9"/>
    <w:rsid w:val="002150B4"/>
    <w:rsid w:val="00215627"/>
    <w:rsid w:val="00216718"/>
    <w:rsid w:val="0021693E"/>
    <w:rsid w:val="00216FBF"/>
    <w:rsid w:val="0021724D"/>
    <w:rsid w:val="00217B69"/>
    <w:rsid w:val="00220278"/>
    <w:rsid w:val="00222BC0"/>
    <w:rsid w:val="00222D02"/>
    <w:rsid w:val="00223040"/>
    <w:rsid w:val="00223704"/>
    <w:rsid w:val="00223BD0"/>
    <w:rsid w:val="00223C40"/>
    <w:rsid w:val="00223EC2"/>
    <w:rsid w:val="00225B3F"/>
    <w:rsid w:val="00225BB5"/>
    <w:rsid w:val="00225FF3"/>
    <w:rsid w:val="002270DB"/>
    <w:rsid w:val="00230BE2"/>
    <w:rsid w:val="00231672"/>
    <w:rsid w:val="00231FCA"/>
    <w:rsid w:val="0023212C"/>
    <w:rsid w:val="00232934"/>
    <w:rsid w:val="00232B51"/>
    <w:rsid w:val="00232D11"/>
    <w:rsid w:val="00233308"/>
    <w:rsid w:val="002335A5"/>
    <w:rsid w:val="00233F9E"/>
    <w:rsid w:val="00234D4A"/>
    <w:rsid w:val="0023738C"/>
    <w:rsid w:val="00237463"/>
    <w:rsid w:val="002375E2"/>
    <w:rsid w:val="0024048D"/>
    <w:rsid w:val="00240A0E"/>
    <w:rsid w:val="00240CA1"/>
    <w:rsid w:val="00241D91"/>
    <w:rsid w:val="00241FB5"/>
    <w:rsid w:val="00242A97"/>
    <w:rsid w:val="00242E5D"/>
    <w:rsid w:val="002432E5"/>
    <w:rsid w:val="00243D8D"/>
    <w:rsid w:val="00245205"/>
    <w:rsid w:val="00245A4A"/>
    <w:rsid w:val="00246AE2"/>
    <w:rsid w:val="00246D6E"/>
    <w:rsid w:val="00247909"/>
    <w:rsid w:val="0025023E"/>
    <w:rsid w:val="00250E67"/>
    <w:rsid w:val="0025155A"/>
    <w:rsid w:val="0025178E"/>
    <w:rsid w:val="0025205C"/>
    <w:rsid w:val="002523E1"/>
    <w:rsid w:val="0025443D"/>
    <w:rsid w:val="00255538"/>
    <w:rsid w:val="00255F91"/>
    <w:rsid w:val="002601F7"/>
    <w:rsid w:val="002614D7"/>
    <w:rsid w:val="00261EF1"/>
    <w:rsid w:val="002623A1"/>
    <w:rsid w:val="00262695"/>
    <w:rsid w:val="00263B82"/>
    <w:rsid w:val="00264869"/>
    <w:rsid w:val="00264BAF"/>
    <w:rsid w:val="002650A5"/>
    <w:rsid w:val="00267BE6"/>
    <w:rsid w:val="00271A11"/>
    <w:rsid w:val="00271DAA"/>
    <w:rsid w:val="00272660"/>
    <w:rsid w:val="00273C99"/>
    <w:rsid w:val="00275B71"/>
    <w:rsid w:val="00275CBD"/>
    <w:rsid w:val="00275DEA"/>
    <w:rsid w:val="00276279"/>
    <w:rsid w:val="00276DE5"/>
    <w:rsid w:val="0028135F"/>
    <w:rsid w:val="0028145D"/>
    <w:rsid w:val="002830FB"/>
    <w:rsid w:val="00285D2F"/>
    <w:rsid w:val="002860CE"/>
    <w:rsid w:val="002868E5"/>
    <w:rsid w:val="0028766C"/>
    <w:rsid w:val="00291404"/>
    <w:rsid w:val="00292C82"/>
    <w:rsid w:val="002939C4"/>
    <w:rsid w:val="002943B5"/>
    <w:rsid w:val="00294EFA"/>
    <w:rsid w:val="00295E3E"/>
    <w:rsid w:val="0029675D"/>
    <w:rsid w:val="00296EB1"/>
    <w:rsid w:val="00297311"/>
    <w:rsid w:val="002A188A"/>
    <w:rsid w:val="002A1CA8"/>
    <w:rsid w:val="002A1FC4"/>
    <w:rsid w:val="002A286D"/>
    <w:rsid w:val="002A29D7"/>
    <w:rsid w:val="002A31B0"/>
    <w:rsid w:val="002A3B84"/>
    <w:rsid w:val="002A6714"/>
    <w:rsid w:val="002A6840"/>
    <w:rsid w:val="002A68BB"/>
    <w:rsid w:val="002A7BB0"/>
    <w:rsid w:val="002B11B2"/>
    <w:rsid w:val="002B1C4A"/>
    <w:rsid w:val="002B2E2A"/>
    <w:rsid w:val="002B37FC"/>
    <w:rsid w:val="002B3AFB"/>
    <w:rsid w:val="002B4291"/>
    <w:rsid w:val="002B47E3"/>
    <w:rsid w:val="002B6394"/>
    <w:rsid w:val="002C0AC3"/>
    <w:rsid w:val="002C0FD1"/>
    <w:rsid w:val="002C1782"/>
    <w:rsid w:val="002C1DF4"/>
    <w:rsid w:val="002C3E3F"/>
    <w:rsid w:val="002C41E6"/>
    <w:rsid w:val="002C508F"/>
    <w:rsid w:val="002C6221"/>
    <w:rsid w:val="002C6D7C"/>
    <w:rsid w:val="002C7A63"/>
    <w:rsid w:val="002C7C4F"/>
    <w:rsid w:val="002D18A9"/>
    <w:rsid w:val="002D2535"/>
    <w:rsid w:val="002D2A5F"/>
    <w:rsid w:val="002D2C8A"/>
    <w:rsid w:val="002D4A29"/>
    <w:rsid w:val="002D50E6"/>
    <w:rsid w:val="002D5331"/>
    <w:rsid w:val="002D5609"/>
    <w:rsid w:val="002D6AA7"/>
    <w:rsid w:val="002E03BC"/>
    <w:rsid w:val="002E1049"/>
    <w:rsid w:val="002E1E8B"/>
    <w:rsid w:val="002E4151"/>
    <w:rsid w:val="002E4385"/>
    <w:rsid w:val="002E4DF8"/>
    <w:rsid w:val="002E61E7"/>
    <w:rsid w:val="002F3456"/>
    <w:rsid w:val="002F417E"/>
    <w:rsid w:val="002F4E7F"/>
    <w:rsid w:val="002F5E3F"/>
    <w:rsid w:val="002F667D"/>
    <w:rsid w:val="002F7757"/>
    <w:rsid w:val="002F7EDF"/>
    <w:rsid w:val="00300DC8"/>
    <w:rsid w:val="00304201"/>
    <w:rsid w:val="00306D4D"/>
    <w:rsid w:val="00307859"/>
    <w:rsid w:val="00307C95"/>
    <w:rsid w:val="0031026C"/>
    <w:rsid w:val="00311131"/>
    <w:rsid w:val="00311D8F"/>
    <w:rsid w:val="00312156"/>
    <w:rsid w:val="00313149"/>
    <w:rsid w:val="00313266"/>
    <w:rsid w:val="00315856"/>
    <w:rsid w:val="00315AEE"/>
    <w:rsid w:val="003160E9"/>
    <w:rsid w:val="003161CC"/>
    <w:rsid w:val="003200A6"/>
    <w:rsid w:val="0032112E"/>
    <w:rsid w:val="0032323D"/>
    <w:rsid w:val="00324753"/>
    <w:rsid w:val="00325872"/>
    <w:rsid w:val="00326414"/>
    <w:rsid w:val="003276BF"/>
    <w:rsid w:val="00331394"/>
    <w:rsid w:val="00331FE0"/>
    <w:rsid w:val="0033362B"/>
    <w:rsid w:val="00333FEA"/>
    <w:rsid w:val="003340E9"/>
    <w:rsid w:val="0033487D"/>
    <w:rsid w:val="00335118"/>
    <w:rsid w:val="00335220"/>
    <w:rsid w:val="003354C8"/>
    <w:rsid w:val="00335933"/>
    <w:rsid w:val="00335F23"/>
    <w:rsid w:val="00336207"/>
    <w:rsid w:val="00337D31"/>
    <w:rsid w:val="003404A2"/>
    <w:rsid w:val="00340553"/>
    <w:rsid w:val="00340C7B"/>
    <w:rsid w:val="003415A8"/>
    <w:rsid w:val="003417AF"/>
    <w:rsid w:val="00342A85"/>
    <w:rsid w:val="003437AA"/>
    <w:rsid w:val="00343FD9"/>
    <w:rsid w:val="00344008"/>
    <w:rsid w:val="0034476A"/>
    <w:rsid w:val="00345300"/>
    <w:rsid w:val="0034637E"/>
    <w:rsid w:val="0034666E"/>
    <w:rsid w:val="003466DF"/>
    <w:rsid w:val="00346E00"/>
    <w:rsid w:val="003471AC"/>
    <w:rsid w:val="003474AA"/>
    <w:rsid w:val="00350B5A"/>
    <w:rsid w:val="003512B2"/>
    <w:rsid w:val="003523B4"/>
    <w:rsid w:val="00352B2B"/>
    <w:rsid w:val="00352C83"/>
    <w:rsid w:val="00352DAA"/>
    <w:rsid w:val="003539AA"/>
    <w:rsid w:val="003555D6"/>
    <w:rsid w:val="0035677B"/>
    <w:rsid w:val="0035768C"/>
    <w:rsid w:val="00357E4F"/>
    <w:rsid w:val="00360291"/>
    <w:rsid w:val="00361C4B"/>
    <w:rsid w:val="00361DBE"/>
    <w:rsid w:val="00362151"/>
    <w:rsid w:val="00362A4B"/>
    <w:rsid w:val="00362FCA"/>
    <w:rsid w:val="0036486B"/>
    <w:rsid w:val="003656B9"/>
    <w:rsid w:val="00365913"/>
    <w:rsid w:val="0036682C"/>
    <w:rsid w:val="00367406"/>
    <w:rsid w:val="00367CD8"/>
    <w:rsid w:val="0037066E"/>
    <w:rsid w:val="00371581"/>
    <w:rsid w:val="00371D27"/>
    <w:rsid w:val="003733CE"/>
    <w:rsid w:val="00375BBC"/>
    <w:rsid w:val="003768BB"/>
    <w:rsid w:val="00376C9D"/>
    <w:rsid w:val="003774D7"/>
    <w:rsid w:val="003802A7"/>
    <w:rsid w:val="00380974"/>
    <w:rsid w:val="00381B3E"/>
    <w:rsid w:val="00381D0B"/>
    <w:rsid w:val="00382281"/>
    <w:rsid w:val="00383CD1"/>
    <w:rsid w:val="003843D5"/>
    <w:rsid w:val="0038448F"/>
    <w:rsid w:val="00384666"/>
    <w:rsid w:val="00385236"/>
    <w:rsid w:val="00385343"/>
    <w:rsid w:val="0039038B"/>
    <w:rsid w:val="00390CAA"/>
    <w:rsid w:val="0039163A"/>
    <w:rsid w:val="00392418"/>
    <w:rsid w:val="0039382D"/>
    <w:rsid w:val="003938AC"/>
    <w:rsid w:val="00394358"/>
    <w:rsid w:val="0039527A"/>
    <w:rsid w:val="00396408"/>
    <w:rsid w:val="00396FCA"/>
    <w:rsid w:val="00397EA2"/>
    <w:rsid w:val="003A03CC"/>
    <w:rsid w:val="003A3011"/>
    <w:rsid w:val="003A3410"/>
    <w:rsid w:val="003A59FD"/>
    <w:rsid w:val="003B0763"/>
    <w:rsid w:val="003B09FB"/>
    <w:rsid w:val="003B1050"/>
    <w:rsid w:val="003B164F"/>
    <w:rsid w:val="003B1884"/>
    <w:rsid w:val="003B1EEC"/>
    <w:rsid w:val="003B27D8"/>
    <w:rsid w:val="003B4709"/>
    <w:rsid w:val="003B4AD7"/>
    <w:rsid w:val="003B584A"/>
    <w:rsid w:val="003B5872"/>
    <w:rsid w:val="003B6E4C"/>
    <w:rsid w:val="003B6EC8"/>
    <w:rsid w:val="003B75E8"/>
    <w:rsid w:val="003B77A7"/>
    <w:rsid w:val="003C0002"/>
    <w:rsid w:val="003C017E"/>
    <w:rsid w:val="003C09E4"/>
    <w:rsid w:val="003C35DA"/>
    <w:rsid w:val="003C3861"/>
    <w:rsid w:val="003C3AAF"/>
    <w:rsid w:val="003C3D1A"/>
    <w:rsid w:val="003C42BC"/>
    <w:rsid w:val="003C4AC5"/>
    <w:rsid w:val="003C4F63"/>
    <w:rsid w:val="003C538A"/>
    <w:rsid w:val="003C6D73"/>
    <w:rsid w:val="003C7CF3"/>
    <w:rsid w:val="003D0278"/>
    <w:rsid w:val="003D12AE"/>
    <w:rsid w:val="003D1A97"/>
    <w:rsid w:val="003D2273"/>
    <w:rsid w:val="003D2544"/>
    <w:rsid w:val="003D36A3"/>
    <w:rsid w:val="003D400E"/>
    <w:rsid w:val="003D5E7F"/>
    <w:rsid w:val="003E049C"/>
    <w:rsid w:val="003E14ED"/>
    <w:rsid w:val="003E1590"/>
    <w:rsid w:val="003E16B0"/>
    <w:rsid w:val="003E1B11"/>
    <w:rsid w:val="003E1C7C"/>
    <w:rsid w:val="003E310E"/>
    <w:rsid w:val="003E48E8"/>
    <w:rsid w:val="003E4C72"/>
    <w:rsid w:val="003E4E8B"/>
    <w:rsid w:val="003E51EF"/>
    <w:rsid w:val="003E5744"/>
    <w:rsid w:val="003E5BAA"/>
    <w:rsid w:val="003E760F"/>
    <w:rsid w:val="003F0341"/>
    <w:rsid w:val="003F0EF4"/>
    <w:rsid w:val="003F1239"/>
    <w:rsid w:val="003F296D"/>
    <w:rsid w:val="003F44E6"/>
    <w:rsid w:val="003F4F3C"/>
    <w:rsid w:val="003F559E"/>
    <w:rsid w:val="003F6837"/>
    <w:rsid w:val="003F6C6F"/>
    <w:rsid w:val="003F7EA8"/>
    <w:rsid w:val="00400D8C"/>
    <w:rsid w:val="0040116F"/>
    <w:rsid w:val="00401F79"/>
    <w:rsid w:val="00402074"/>
    <w:rsid w:val="00402151"/>
    <w:rsid w:val="004032BF"/>
    <w:rsid w:val="004046EB"/>
    <w:rsid w:val="00404A96"/>
    <w:rsid w:val="00404D5C"/>
    <w:rsid w:val="004050EF"/>
    <w:rsid w:val="00406196"/>
    <w:rsid w:val="004070D1"/>
    <w:rsid w:val="00410052"/>
    <w:rsid w:val="00410402"/>
    <w:rsid w:val="00410B39"/>
    <w:rsid w:val="004111D3"/>
    <w:rsid w:val="00411478"/>
    <w:rsid w:val="00411BFC"/>
    <w:rsid w:val="00411DD7"/>
    <w:rsid w:val="00412211"/>
    <w:rsid w:val="004124A2"/>
    <w:rsid w:val="0041378A"/>
    <w:rsid w:val="004139C1"/>
    <w:rsid w:val="0042094F"/>
    <w:rsid w:val="004217FB"/>
    <w:rsid w:val="00421A2F"/>
    <w:rsid w:val="004229A4"/>
    <w:rsid w:val="004233E2"/>
    <w:rsid w:val="0042340C"/>
    <w:rsid w:val="004235B7"/>
    <w:rsid w:val="004250B8"/>
    <w:rsid w:val="004253A5"/>
    <w:rsid w:val="00425602"/>
    <w:rsid w:val="00425A94"/>
    <w:rsid w:val="00425F43"/>
    <w:rsid w:val="00426EBF"/>
    <w:rsid w:val="00427425"/>
    <w:rsid w:val="00430FBD"/>
    <w:rsid w:val="004314B7"/>
    <w:rsid w:val="0043257D"/>
    <w:rsid w:val="00434362"/>
    <w:rsid w:val="00434438"/>
    <w:rsid w:val="00435488"/>
    <w:rsid w:val="00437A81"/>
    <w:rsid w:val="00437DA7"/>
    <w:rsid w:val="0044039E"/>
    <w:rsid w:val="00440B33"/>
    <w:rsid w:val="00440F5A"/>
    <w:rsid w:val="00441977"/>
    <w:rsid w:val="004419F9"/>
    <w:rsid w:val="00441A4B"/>
    <w:rsid w:val="00442F72"/>
    <w:rsid w:val="00442FE7"/>
    <w:rsid w:val="00443293"/>
    <w:rsid w:val="00444614"/>
    <w:rsid w:val="00444F51"/>
    <w:rsid w:val="00446E89"/>
    <w:rsid w:val="004475EB"/>
    <w:rsid w:val="0045058B"/>
    <w:rsid w:val="0045089D"/>
    <w:rsid w:val="004508EA"/>
    <w:rsid w:val="00450A3B"/>
    <w:rsid w:val="0045105E"/>
    <w:rsid w:val="004523BF"/>
    <w:rsid w:val="00454679"/>
    <w:rsid w:val="00454EAF"/>
    <w:rsid w:val="004550D0"/>
    <w:rsid w:val="00456B5C"/>
    <w:rsid w:val="00456B7A"/>
    <w:rsid w:val="00456D9E"/>
    <w:rsid w:val="00460D59"/>
    <w:rsid w:val="00463809"/>
    <w:rsid w:val="00463D0A"/>
    <w:rsid w:val="004650EA"/>
    <w:rsid w:val="00465CB1"/>
    <w:rsid w:val="00465FEB"/>
    <w:rsid w:val="00466A1F"/>
    <w:rsid w:val="00466B66"/>
    <w:rsid w:val="00466BCB"/>
    <w:rsid w:val="00466F26"/>
    <w:rsid w:val="0046777B"/>
    <w:rsid w:val="004679CF"/>
    <w:rsid w:val="0047218E"/>
    <w:rsid w:val="0047365E"/>
    <w:rsid w:val="00473F01"/>
    <w:rsid w:val="0047407E"/>
    <w:rsid w:val="00476276"/>
    <w:rsid w:val="00476561"/>
    <w:rsid w:val="00476D08"/>
    <w:rsid w:val="00481253"/>
    <w:rsid w:val="00481B40"/>
    <w:rsid w:val="00481CD5"/>
    <w:rsid w:val="00482262"/>
    <w:rsid w:val="004827E7"/>
    <w:rsid w:val="00482B6E"/>
    <w:rsid w:val="00482EAE"/>
    <w:rsid w:val="00483814"/>
    <w:rsid w:val="00484B5F"/>
    <w:rsid w:val="004874EF"/>
    <w:rsid w:val="00492770"/>
    <w:rsid w:val="004929A5"/>
    <w:rsid w:val="004932F3"/>
    <w:rsid w:val="00493EA5"/>
    <w:rsid w:val="0049433A"/>
    <w:rsid w:val="00495202"/>
    <w:rsid w:val="0049591F"/>
    <w:rsid w:val="00495F63"/>
    <w:rsid w:val="004964E7"/>
    <w:rsid w:val="00497F72"/>
    <w:rsid w:val="004A07FE"/>
    <w:rsid w:val="004A0954"/>
    <w:rsid w:val="004A1BDA"/>
    <w:rsid w:val="004A264F"/>
    <w:rsid w:val="004A3939"/>
    <w:rsid w:val="004A40F6"/>
    <w:rsid w:val="004A45DF"/>
    <w:rsid w:val="004A47F2"/>
    <w:rsid w:val="004A575D"/>
    <w:rsid w:val="004A5EB4"/>
    <w:rsid w:val="004A5F88"/>
    <w:rsid w:val="004A6D51"/>
    <w:rsid w:val="004B2E5F"/>
    <w:rsid w:val="004B2E67"/>
    <w:rsid w:val="004B437B"/>
    <w:rsid w:val="004B4D9C"/>
    <w:rsid w:val="004B622F"/>
    <w:rsid w:val="004B62D4"/>
    <w:rsid w:val="004B7C00"/>
    <w:rsid w:val="004C04C3"/>
    <w:rsid w:val="004C08DE"/>
    <w:rsid w:val="004C1194"/>
    <w:rsid w:val="004C1E9A"/>
    <w:rsid w:val="004C2225"/>
    <w:rsid w:val="004C32B0"/>
    <w:rsid w:val="004C3ABE"/>
    <w:rsid w:val="004C3AE4"/>
    <w:rsid w:val="004C4F67"/>
    <w:rsid w:val="004C56AC"/>
    <w:rsid w:val="004C6F0A"/>
    <w:rsid w:val="004C7F92"/>
    <w:rsid w:val="004D01E8"/>
    <w:rsid w:val="004D0B90"/>
    <w:rsid w:val="004D0FA7"/>
    <w:rsid w:val="004D163B"/>
    <w:rsid w:val="004D1AD8"/>
    <w:rsid w:val="004D22BC"/>
    <w:rsid w:val="004D3CEA"/>
    <w:rsid w:val="004D6D90"/>
    <w:rsid w:val="004D7222"/>
    <w:rsid w:val="004D7430"/>
    <w:rsid w:val="004D76A9"/>
    <w:rsid w:val="004E05F5"/>
    <w:rsid w:val="004E09EF"/>
    <w:rsid w:val="004E0B26"/>
    <w:rsid w:val="004E10D5"/>
    <w:rsid w:val="004E2010"/>
    <w:rsid w:val="004E3B3C"/>
    <w:rsid w:val="004E4606"/>
    <w:rsid w:val="004E4920"/>
    <w:rsid w:val="004E52B4"/>
    <w:rsid w:val="004E6C76"/>
    <w:rsid w:val="004E7282"/>
    <w:rsid w:val="004E7719"/>
    <w:rsid w:val="004E7D5B"/>
    <w:rsid w:val="004E7E9D"/>
    <w:rsid w:val="004F020E"/>
    <w:rsid w:val="004F1D00"/>
    <w:rsid w:val="004F2535"/>
    <w:rsid w:val="004F44A8"/>
    <w:rsid w:val="004F5CDC"/>
    <w:rsid w:val="004F5CE5"/>
    <w:rsid w:val="004F7E66"/>
    <w:rsid w:val="0050032C"/>
    <w:rsid w:val="00501F7A"/>
    <w:rsid w:val="00502D51"/>
    <w:rsid w:val="00503BA3"/>
    <w:rsid w:val="00503E4A"/>
    <w:rsid w:val="00504B30"/>
    <w:rsid w:val="0050545A"/>
    <w:rsid w:val="0050581A"/>
    <w:rsid w:val="00505976"/>
    <w:rsid w:val="00505A0D"/>
    <w:rsid w:val="00505DB1"/>
    <w:rsid w:val="0050615B"/>
    <w:rsid w:val="005077E3"/>
    <w:rsid w:val="00507D53"/>
    <w:rsid w:val="005117E2"/>
    <w:rsid w:val="00511CED"/>
    <w:rsid w:val="00512F43"/>
    <w:rsid w:val="00516DB9"/>
    <w:rsid w:val="0052019E"/>
    <w:rsid w:val="005217D4"/>
    <w:rsid w:val="00521874"/>
    <w:rsid w:val="0052311C"/>
    <w:rsid w:val="00523B6D"/>
    <w:rsid w:val="0052568F"/>
    <w:rsid w:val="00525959"/>
    <w:rsid w:val="00525EB6"/>
    <w:rsid w:val="00525FF0"/>
    <w:rsid w:val="00526450"/>
    <w:rsid w:val="00526525"/>
    <w:rsid w:val="00527146"/>
    <w:rsid w:val="00527275"/>
    <w:rsid w:val="005305DE"/>
    <w:rsid w:val="00532241"/>
    <w:rsid w:val="0053303C"/>
    <w:rsid w:val="005338F4"/>
    <w:rsid w:val="005344FB"/>
    <w:rsid w:val="00536C40"/>
    <w:rsid w:val="00536E5A"/>
    <w:rsid w:val="0053710B"/>
    <w:rsid w:val="00537BCB"/>
    <w:rsid w:val="00537EB2"/>
    <w:rsid w:val="00540CF6"/>
    <w:rsid w:val="00540D57"/>
    <w:rsid w:val="005414DC"/>
    <w:rsid w:val="00543937"/>
    <w:rsid w:val="00543A3E"/>
    <w:rsid w:val="00543D7F"/>
    <w:rsid w:val="005445BF"/>
    <w:rsid w:val="00545283"/>
    <w:rsid w:val="005460C8"/>
    <w:rsid w:val="005463ED"/>
    <w:rsid w:val="0054676B"/>
    <w:rsid w:val="00546F75"/>
    <w:rsid w:val="005473D6"/>
    <w:rsid w:val="0055055A"/>
    <w:rsid w:val="005510FB"/>
    <w:rsid w:val="00551820"/>
    <w:rsid w:val="00551D5C"/>
    <w:rsid w:val="005539B5"/>
    <w:rsid w:val="00554108"/>
    <w:rsid w:val="0055447D"/>
    <w:rsid w:val="0055454B"/>
    <w:rsid w:val="005545F4"/>
    <w:rsid w:val="005546BA"/>
    <w:rsid w:val="005546DE"/>
    <w:rsid w:val="005547AE"/>
    <w:rsid w:val="00555006"/>
    <w:rsid w:val="00555490"/>
    <w:rsid w:val="00555511"/>
    <w:rsid w:val="0055551C"/>
    <w:rsid w:val="00556187"/>
    <w:rsid w:val="00560059"/>
    <w:rsid w:val="005609CE"/>
    <w:rsid w:val="00561D43"/>
    <w:rsid w:val="005636FF"/>
    <w:rsid w:val="00563749"/>
    <w:rsid w:val="00563F10"/>
    <w:rsid w:val="0056415F"/>
    <w:rsid w:val="00564498"/>
    <w:rsid w:val="00564FA8"/>
    <w:rsid w:val="00570A59"/>
    <w:rsid w:val="00570F63"/>
    <w:rsid w:val="00571013"/>
    <w:rsid w:val="00571270"/>
    <w:rsid w:val="0057145A"/>
    <w:rsid w:val="00571464"/>
    <w:rsid w:val="00571BC8"/>
    <w:rsid w:val="005720EF"/>
    <w:rsid w:val="0057305F"/>
    <w:rsid w:val="005751E2"/>
    <w:rsid w:val="0057558D"/>
    <w:rsid w:val="00575597"/>
    <w:rsid w:val="00576062"/>
    <w:rsid w:val="0057669D"/>
    <w:rsid w:val="00576A36"/>
    <w:rsid w:val="00576BEB"/>
    <w:rsid w:val="00577DFC"/>
    <w:rsid w:val="0058049B"/>
    <w:rsid w:val="00580F80"/>
    <w:rsid w:val="0058119C"/>
    <w:rsid w:val="00581A4C"/>
    <w:rsid w:val="00581DDB"/>
    <w:rsid w:val="0058296C"/>
    <w:rsid w:val="00584447"/>
    <w:rsid w:val="00585156"/>
    <w:rsid w:val="0058541A"/>
    <w:rsid w:val="00585907"/>
    <w:rsid w:val="00585ACF"/>
    <w:rsid w:val="00585DE8"/>
    <w:rsid w:val="00587513"/>
    <w:rsid w:val="00590373"/>
    <w:rsid w:val="005927A4"/>
    <w:rsid w:val="00593429"/>
    <w:rsid w:val="005940E1"/>
    <w:rsid w:val="005960F9"/>
    <w:rsid w:val="005961BE"/>
    <w:rsid w:val="00596CED"/>
    <w:rsid w:val="00596EFD"/>
    <w:rsid w:val="00597EED"/>
    <w:rsid w:val="005A0244"/>
    <w:rsid w:val="005A046D"/>
    <w:rsid w:val="005A0832"/>
    <w:rsid w:val="005A12CF"/>
    <w:rsid w:val="005A1759"/>
    <w:rsid w:val="005A1806"/>
    <w:rsid w:val="005A2762"/>
    <w:rsid w:val="005A3350"/>
    <w:rsid w:val="005A34B9"/>
    <w:rsid w:val="005A38EB"/>
    <w:rsid w:val="005A394B"/>
    <w:rsid w:val="005A44BB"/>
    <w:rsid w:val="005A525E"/>
    <w:rsid w:val="005A53F7"/>
    <w:rsid w:val="005A5722"/>
    <w:rsid w:val="005A5826"/>
    <w:rsid w:val="005A5847"/>
    <w:rsid w:val="005A62CB"/>
    <w:rsid w:val="005A65BA"/>
    <w:rsid w:val="005B0533"/>
    <w:rsid w:val="005B1752"/>
    <w:rsid w:val="005B1F97"/>
    <w:rsid w:val="005B3165"/>
    <w:rsid w:val="005B3CC5"/>
    <w:rsid w:val="005B66CD"/>
    <w:rsid w:val="005B755D"/>
    <w:rsid w:val="005B7670"/>
    <w:rsid w:val="005C17AA"/>
    <w:rsid w:val="005C1ABC"/>
    <w:rsid w:val="005C1D83"/>
    <w:rsid w:val="005C2406"/>
    <w:rsid w:val="005C2E37"/>
    <w:rsid w:val="005C3C9A"/>
    <w:rsid w:val="005C52C5"/>
    <w:rsid w:val="005C61A4"/>
    <w:rsid w:val="005C627B"/>
    <w:rsid w:val="005C62DD"/>
    <w:rsid w:val="005C6534"/>
    <w:rsid w:val="005C6589"/>
    <w:rsid w:val="005C7B32"/>
    <w:rsid w:val="005D0D5E"/>
    <w:rsid w:val="005D13DC"/>
    <w:rsid w:val="005D3CDF"/>
    <w:rsid w:val="005D45B3"/>
    <w:rsid w:val="005D629C"/>
    <w:rsid w:val="005D6A94"/>
    <w:rsid w:val="005D7B60"/>
    <w:rsid w:val="005E1B22"/>
    <w:rsid w:val="005E29E3"/>
    <w:rsid w:val="005E2B84"/>
    <w:rsid w:val="005E3584"/>
    <w:rsid w:val="005E468C"/>
    <w:rsid w:val="005E6226"/>
    <w:rsid w:val="005F0A04"/>
    <w:rsid w:val="005F1630"/>
    <w:rsid w:val="005F31BD"/>
    <w:rsid w:val="005F3ACF"/>
    <w:rsid w:val="005F49DD"/>
    <w:rsid w:val="005F537A"/>
    <w:rsid w:val="005F6E2D"/>
    <w:rsid w:val="005F7D3D"/>
    <w:rsid w:val="005F7F60"/>
    <w:rsid w:val="006009A3"/>
    <w:rsid w:val="00601BB0"/>
    <w:rsid w:val="0060209A"/>
    <w:rsid w:val="00602E66"/>
    <w:rsid w:val="00603F17"/>
    <w:rsid w:val="0060404E"/>
    <w:rsid w:val="00605C5D"/>
    <w:rsid w:val="00606554"/>
    <w:rsid w:val="00606B7A"/>
    <w:rsid w:val="00607727"/>
    <w:rsid w:val="006105B0"/>
    <w:rsid w:val="0061075A"/>
    <w:rsid w:val="00610B33"/>
    <w:rsid w:val="006117FA"/>
    <w:rsid w:val="0061213C"/>
    <w:rsid w:val="006132B6"/>
    <w:rsid w:val="0061464F"/>
    <w:rsid w:val="00614F00"/>
    <w:rsid w:val="00615C87"/>
    <w:rsid w:val="00615ED6"/>
    <w:rsid w:val="006177E3"/>
    <w:rsid w:val="00617E2A"/>
    <w:rsid w:val="00620518"/>
    <w:rsid w:val="00620E5F"/>
    <w:rsid w:val="006211A5"/>
    <w:rsid w:val="00622CB5"/>
    <w:rsid w:val="00624883"/>
    <w:rsid w:val="00624A73"/>
    <w:rsid w:val="006272F6"/>
    <w:rsid w:val="00627790"/>
    <w:rsid w:val="00630A43"/>
    <w:rsid w:val="00630F30"/>
    <w:rsid w:val="00631451"/>
    <w:rsid w:val="00631FC3"/>
    <w:rsid w:val="00632C67"/>
    <w:rsid w:val="00633017"/>
    <w:rsid w:val="006340DA"/>
    <w:rsid w:val="00634874"/>
    <w:rsid w:val="006353EB"/>
    <w:rsid w:val="006358A1"/>
    <w:rsid w:val="00637899"/>
    <w:rsid w:val="0064070F"/>
    <w:rsid w:val="0064222F"/>
    <w:rsid w:val="00642D0A"/>
    <w:rsid w:val="006431E0"/>
    <w:rsid w:val="00643451"/>
    <w:rsid w:val="006434C4"/>
    <w:rsid w:val="00650DC9"/>
    <w:rsid w:val="006525E5"/>
    <w:rsid w:val="00653EFC"/>
    <w:rsid w:val="00654AD8"/>
    <w:rsid w:val="00654F0D"/>
    <w:rsid w:val="00656054"/>
    <w:rsid w:val="006560D4"/>
    <w:rsid w:val="006567BC"/>
    <w:rsid w:val="00657EB7"/>
    <w:rsid w:val="0066111E"/>
    <w:rsid w:val="00661294"/>
    <w:rsid w:val="00662149"/>
    <w:rsid w:val="00662561"/>
    <w:rsid w:val="006635DC"/>
    <w:rsid w:val="00663B23"/>
    <w:rsid w:val="006645FA"/>
    <w:rsid w:val="00664B45"/>
    <w:rsid w:val="00664BB4"/>
    <w:rsid w:val="00664D39"/>
    <w:rsid w:val="00665247"/>
    <w:rsid w:val="006656B3"/>
    <w:rsid w:val="00665CBD"/>
    <w:rsid w:val="0066606A"/>
    <w:rsid w:val="006675C0"/>
    <w:rsid w:val="0066778B"/>
    <w:rsid w:val="00667F61"/>
    <w:rsid w:val="00671A72"/>
    <w:rsid w:val="00671B5D"/>
    <w:rsid w:val="006732EB"/>
    <w:rsid w:val="006750EE"/>
    <w:rsid w:val="00675E42"/>
    <w:rsid w:val="006768CA"/>
    <w:rsid w:val="00677F56"/>
    <w:rsid w:val="00681BBC"/>
    <w:rsid w:val="0068201D"/>
    <w:rsid w:val="00683013"/>
    <w:rsid w:val="0068432C"/>
    <w:rsid w:val="006847F6"/>
    <w:rsid w:val="00685609"/>
    <w:rsid w:val="00686841"/>
    <w:rsid w:val="00686A32"/>
    <w:rsid w:val="00687A1F"/>
    <w:rsid w:val="00690339"/>
    <w:rsid w:val="00690680"/>
    <w:rsid w:val="00692581"/>
    <w:rsid w:val="0069281D"/>
    <w:rsid w:val="00694393"/>
    <w:rsid w:val="00694786"/>
    <w:rsid w:val="00695910"/>
    <w:rsid w:val="00697ABF"/>
    <w:rsid w:val="006A0B5A"/>
    <w:rsid w:val="006A1D2F"/>
    <w:rsid w:val="006A23B1"/>
    <w:rsid w:val="006A389B"/>
    <w:rsid w:val="006A3EE6"/>
    <w:rsid w:val="006A45CF"/>
    <w:rsid w:val="006A4712"/>
    <w:rsid w:val="006A532D"/>
    <w:rsid w:val="006A5E24"/>
    <w:rsid w:val="006A71F1"/>
    <w:rsid w:val="006A7FDC"/>
    <w:rsid w:val="006B0069"/>
    <w:rsid w:val="006B073F"/>
    <w:rsid w:val="006B1A86"/>
    <w:rsid w:val="006B263A"/>
    <w:rsid w:val="006B28A8"/>
    <w:rsid w:val="006B3F0D"/>
    <w:rsid w:val="006B465F"/>
    <w:rsid w:val="006B4AEA"/>
    <w:rsid w:val="006B52B8"/>
    <w:rsid w:val="006B56E7"/>
    <w:rsid w:val="006B6FAB"/>
    <w:rsid w:val="006B7631"/>
    <w:rsid w:val="006B7637"/>
    <w:rsid w:val="006C0043"/>
    <w:rsid w:val="006C0526"/>
    <w:rsid w:val="006C0878"/>
    <w:rsid w:val="006C3BC5"/>
    <w:rsid w:val="006C40C9"/>
    <w:rsid w:val="006C4387"/>
    <w:rsid w:val="006C55CE"/>
    <w:rsid w:val="006C55F7"/>
    <w:rsid w:val="006C6B42"/>
    <w:rsid w:val="006C6FDD"/>
    <w:rsid w:val="006C7364"/>
    <w:rsid w:val="006C7E1F"/>
    <w:rsid w:val="006D146F"/>
    <w:rsid w:val="006D1914"/>
    <w:rsid w:val="006D25BF"/>
    <w:rsid w:val="006D6C11"/>
    <w:rsid w:val="006D7014"/>
    <w:rsid w:val="006D70BE"/>
    <w:rsid w:val="006D7E0E"/>
    <w:rsid w:val="006E0BF0"/>
    <w:rsid w:val="006E0C1D"/>
    <w:rsid w:val="006E119D"/>
    <w:rsid w:val="006E15B3"/>
    <w:rsid w:val="006E3887"/>
    <w:rsid w:val="006E4E00"/>
    <w:rsid w:val="006E77D4"/>
    <w:rsid w:val="006E7FC9"/>
    <w:rsid w:val="006F02E5"/>
    <w:rsid w:val="006F05FA"/>
    <w:rsid w:val="006F14A3"/>
    <w:rsid w:val="006F1873"/>
    <w:rsid w:val="006F1FFF"/>
    <w:rsid w:val="006F2AE8"/>
    <w:rsid w:val="006F2CA1"/>
    <w:rsid w:val="006F2E2F"/>
    <w:rsid w:val="006F35B4"/>
    <w:rsid w:val="006F3D22"/>
    <w:rsid w:val="006F40EA"/>
    <w:rsid w:val="006F4875"/>
    <w:rsid w:val="006F55FB"/>
    <w:rsid w:val="006F5EE7"/>
    <w:rsid w:val="006F6C4C"/>
    <w:rsid w:val="006F7F10"/>
    <w:rsid w:val="00700305"/>
    <w:rsid w:val="00700331"/>
    <w:rsid w:val="00700FB6"/>
    <w:rsid w:val="007012B7"/>
    <w:rsid w:val="00701C89"/>
    <w:rsid w:val="00701E7C"/>
    <w:rsid w:val="007040D7"/>
    <w:rsid w:val="0070447C"/>
    <w:rsid w:val="00706432"/>
    <w:rsid w:val="00706634"/>
    <w:rsid w:val="00707D8F"/>
    <w:rsid w:val="00711ACE"/>
    <w:rsid w:val="007125F1"/>
    <w:rsid w:val="00713719"/>
    <w:rsid w:val="00713F1A"/>
    <w:rsid w:val="007146D8"/>
    <w:rsid w:val="0071475C"/>
    <w:rsid w:val="00714F78"/>
    <w:rsid w:val="0071537C"/>
    <w:rsid w:val="007159C2"/>
    <w:rsid w:val="0071647D"/>
    <w:rsid w:val="00721694"/>
    <w:rsid w:val="00721C52"/>
    <w:rsid w:val="00722FB6"/>
    <w:rsid w:val="007230CA"/>
    <w:rsid w:val="007236F5"/>
    <w:rsid w:val="0072400D"/>
    <w:rsid w:val="007242F1"/>
    <w:rsid w:val="00724430"/>
    <w:rsid w:val="007250AF"/>
    <w:rsid w:val="007260A5"/>
    <w:rsid w:val="0072753A"/>
    <w:rsid w:val="00730694"/>
    <w:rsid w:val="00730C6A"/>
    <w:rsid w:val="00731718"/>
    <w:rsid w:val="007317AC"/>
    <w:rsid w:val="007321CD"/>
    <w:rsid w:val="00732212"/>
    <w:rsid w:val="00732B68"/>
    <w:rsid w:val="00734BEE"/>
    <w:rsid w:val="007403B8"/>
    <w:rsid w:val="0074092D"/>
    <w:rsid w:val="00740F71"/>
    <w:rsid w:val="00740FC3"/>
    <w:rsid w:val="007427AD"/>
    <w:rsid w:val="00742928"/>
    <w:rsid w:val="00742939"/>
    <w:rsid w:val="007456F7"/>
    <w:rsid w:val="007463D3"/>
    <w:rsid w:val="007464CA"/>
    <w:rsid w:val="00746A41"/>
    <w:rsid w:val="00747C2F"/>
    <w:rsid w:val="007501FE"/>
    <w:rsid w:val="00750645"/>
    <w:rsid w:val="007518DD"/>
    <w:rsid w:val="00751D30"/>
    <w:rsid w:val="00753B7F"/>
    <w:rsid w:val="00755667"/>
    <w:rsid w:val="00756082"/>
    <w:rsid w:val="00756FCB"/>
    <w:rsid w:val="00762A6A"/>
    <w:rsid w:val="00763748"/>
    <w:rsid w:val="007645FE"/>
    <w:rsid w:val="007648E6"/>
    <w:rsid w:val="00765F81"/>
    <w:rsid w:val="007668BF"/>
    <w:rsid w:val="00767CA0"/>
    <w:rsid w:val="007719C4"/>
    <w:rsid w:val="00772832"/>
    <w:rsid w:val="0077295F"/>
    <w:rsid w:val="00772B0C"/>
    <w:rsid w:val="00772B7A"/>
    <w:rsid w:val="00772E10"/>
    <w:rsid w:val="00773215"/>
    <w:rsid w:val="007737F8"/>
    <w:rsid w:val="007738FC"/>
    <w:rsid w:val="007743F0"/>
    <w:rsid w:val="00777662"/>
    <w:rsid w:val="00777DF1"/>
    <w:rsid w:val="00780B27"/>
    <w:rsid w:val="00781841"/>
    <w:rsid w:val="00781F41"/>
    <w:rsid w:val="0078244D"/>
    <w:rsid w:val="0078350C"/>
    <w:rsid w:val="007845C3"/>
    <w:rsid w:val="00784D18"/>
    <w:rsid w:val="00785400"/>
    <w:rsid w:val="00785685"/>
    <w:rsid w:val="00785802"/>
    <w:rsid w:val="00785A3A"/>
    <w:rsid w:val="007863DD"/>
    <w:rsid w:val="00790BD3"/>
    <w:rsid w:val="00791469"/>
    <w:rsid w:val="0079172E"/>
    <w:rsid w:val="00791E60"/>
    <w:rsid w:val="007922E2"/>
    <w:rsid w:val="00792A62"/>
    <w:rsid w:val="007931FA"/>
    <w:rsid w:val="00793D2D"/>
    <w:rsid w:val="00793E16"/>
    <w:rsid w:val="00797954"/>
    <w:rsid w:val="007A0208"/>
    <w:rsid w:val="007A02AF"/>
    <w:rsid w:val="007A0888"/>
    <w:rsid w:val="007A11FD"/>
    <w:rsid w:val="007A3B2F"/>
    <w:rsid w:val="007A3D3C"/>
    <w:rsid w:val="007A4443"/>
    <w:rsid w:val="007A4FFB"/>
    <w:rsid w:val="007A5088"/>
    <w:rsid w:val="007A5560"/>
    <w:rsid w:val="007A63FE"/>
    <w:rsid w:val="007A7895"/>
    <w:rsid w:val="007A7D73"/>
    <w:rsid w:val="007B00BA"/>
    <w:rsid w:val="007B0A60"/>
    <w:rsid w:val="007B2382"/>
    <w:rsid w:val="007B2590"/>
    <w:rsid w:val="007B3099"/>
    <w:rsid w:val="007B3C85"/>
    <w:rsid w:val="007B42CD"/>
    <w:rsid w:val="007B4B64"/>
    <w:rsid w:val="007B6B4C"/>
    <w:rsid w:val="007B794D"/>
    <w:rsid w:val="007C0840"/>
    <w:rsid w:val="007C15F7"/>
    <w:rsid w:val="007C1D3E"/>
    <w:rsid w:val="007C3166"/>
    <w:rsid w:val="007C322C"/>
    <w:rsid w:val="007C326F"/>
    <w:rsid w:val="007C3335"/>
    <w:rsid w:val="007C48F5"/>
    <w:rsid w:val="007C5C6D"/>
    <w:rsid w:val="007C6067"/>
    <w:rsid w:val="007C7092"/>
    <w:rsid w:val="007D0FF0"/>
    <w:rsid w:val="007D13F1"/>
    <w:rsid w:val="007D2070"/>
    <w:rsid w:val="007D2570"/>
    <w:rsid w:val="007D2FC3"/>
    <w:rsid w:val="007D37A3"/>
    <w:rsid w:val="007D3A14"/>
    <w:rsid w:val="007D3A20"/>
    <w:rsid w:val="007D4167"/>
    <w:rsid w:val="007D7725"/>
    <w:rsid w:val="007E0B47"/>
    <w:rsid w:val="007E0F03"/>
    <w:rsid w:val="007E1003"/>
    <w:rsid w:val="007E104F"/>
    <w:rsid w:val="007E1212"/>
    <w:rsid w:val="007E2D18"/>
    <w:rsid w:val="007E431B"/>
    <w:rsid w:val="007E45DD"/>
    <w:rsid w:val="007E4943"/>
    <w:rsid w:val="007E579E"/>
    <w:rsid w:val="007E73AD"/>
    <w:rsid w:val="007E7FFC"/>
    <w:rsid w:val="007F0DA2"/>
    <w:rsid w:val="007F13F0"/>
    <w:rsid w:val="007F196F"/>
    <w:rsid w:val="007F1B55"/>
    <w:rsid w:val="007F1ED1"/>
    <w:rsid w:val="007F3ED2"/>
    <w:rsid w:val="007F551F"/>
    <w:rsid w:val="007F6924"/>
    <w:rsid w:val="007F7442"/>
    <w:rsid w:val="007F74FA"/>
    <w:rsid w:val="007F78DE"/>
    <w:rsid w:val="008007D6"/>
    <w:rsid w:val="00800EA7"/>
    <w:rsid w:val="008024FB"/>
    <w:rsid w:val="00804573"/>
    <w:rsid w:val="00804F9F"/>
    <w:rsid w:val="00805FE5"/>
    <w:rsid w:val="0080683C"/>
    <w:rsid w:val="00806F5B"/>
    <w:rsid w:val="00807340"/>
    <w:rsid w:val="0080734F"/>
    <w:rsid w:val="0080788E"/>
    <w:rsid w:val="00807DE1"/>
    <w:rsid w:val="008105E7"/>
    <w:rsid w:val="0081194E"/>
    <w:rsid w:val="0081198C"/>
    <w:rsid w:val="00812329"/>
    <w:rsid w:val="00812668"/>
    <w:rsid w:val="008128AC"/>
    <w:rsid w:val="00813E71"/>
    <w:rsid w:val="00814930"/>
    <w:rsid w:val="00815901"/>
    <w:rsid w:val="00815CB5"/>
    <w:rsid w:val="0081616F"/>
    <w:rsid w:val="0081647A"/>
    <w:rsid w:val="008169AE"/>
    <w:rsid w:val="00816C7D"/>
    <w:rsid w:val="00816F0E"/>
    <w:rsid w:val="00817621"/>
    <w:rsid w:val="00817C05"/>
    <w:rsid w:val="00817F20"/>
    <w:rsid w:val="00821EBF"/>
    <w:rsid w:val="008224B6"/>
    <w:rsid w:val="00824303"/>
    <w:rsid w:val="00825F52"/>
    <w:rsid w:val="00826230"/>
    <w:rsid w:val="0082687D"/>
    <w:rsid w:val="00826A62"/>
    <w:rsid w:val="00827AF4"/>
    <w:rsid w:val="00832E46"/>
    <w:rsid w:val="00834077"/>
    <w:rsid w:val="0083499D"/>
    <w:rsid w:val="00836B12"/>
    <w:rsid w:val="00837890"/>
    <w:rsid w:val="00837916"/>
    <w:rsid w:val="008405E8"/>
    <w:rsid w:val="008407DC"/>
    <w:rsid w:val="00840AC4"/>
    <w:rsid w:val="00840DCE"/>
    <w:rsid w:val="00840F0F"/>
    <w:rsid w:val="00841EFB"/>
    <w:rsid w:val="00842030"/>
    <w:rsid w:val="00844BE3"/>
    <w:rsid w:val="008450C4"/>
    <w:rsid w:val="008451B5"/>
    <w:rsid w:val="00845432"/>
    <w:rsid w:val="00845A63"/>
    <w:rsid w:val="00846044"/>
    <w:rsid w:val="00846462"/>
    <w:rsid w:val="0084708F"/>
    <w:rsid w:val="00847635"/>
    <w:rsid w:val="0084776F"/>
    <w:rsid w:val="00847EB4"/>
    <w:rsid w:val="00850959"/>
    <w:rsid w:val="00850A6F"/>
    <w:rsid w:val="008515A1"/>
    <w:rsid w:val="00852980"/>
    <w:rsid w:val="00853528"/>
    <w:rsid w:val="00853F27"/>
    <w:rsid w:val="00854547"/>
    <w:rsid w:val="00854F27"/>
    <w:rsid w:val="0085553A"/>
    <w:rsid w:val="008556A8"/>
    <w:rsid w:val="00855716"/>
    <w:rsid w:val="0085709F"/>
    <w:rsid w:val="008575C8"/>
    <w:rsid w:val="00860A3E"/>
    <w:rsid w:val="00860B30"/>
    <w:rsid w:val="0086119E"/>
    <w:rsid w:val="00861AC4"/>
    <w:rsid w:val="008622D5"/>
    <w:rsid w:val="0086241B"/>
    <w:rsid w:val="00864F97"/>
    <w:rsid w:val="008654F1"/>
    <w:rsid w:val="00866282"/>
    <w:rsid w:val="008663A7"/>
    <w:rsid w:val="00866834"/>
    <w:rsid w:val="008702C9"/>
    <w:rsid w:val="00871E7F"/>
    <w:rsid w:val="008720F0"/>
    <w:rsid w:val="00872117"/>
    <w:rsid w:val="00873DC9"/>
    <w:rsid w:val="00874028"/>
    <w:rsid w:val="008753B4"/>
    <w:rsid w:val="00876370"/>
    <w:rsid w:val="00876A61"/>
    <w:rsid w:val="00877214"/>
    <w:rsid w:val="0087767C"/>
    <w:rsid w:val="008776C3"/>
    <w:rsid w:val="008805BB"/>
    <w:rsid w:val="00880B1D"/>
    <w:rsid w:val="00880E19"/>
    <w:rsid w:val="008819E7"/>
    <w:rsid w:val="00882342"/>
    <w:rsid w:val="00882B5B"/>
    <w:rsid w:val="00882D2B"/>
    <w:rsid w:val="00883E94"/>
    <w:rsid w:val="00883EAB"/>
    <w:rsid w:val="008875B8"/>
    <w:rsid w:val="00887DF4"/>
    <w:rsid w:val="00887F30"/>
    <w:rsid w:val="0089451A"/>
    <w:rsid w:val="00896FC2"/>
    <w:rsid w:val="0089768B"/>
    <w:rsid w:val="00897F0E"/>
    <w:rsid w:val="008A11F8"/>
    <w:rsid w:val="008A2019"/>
    <w:rsid w:val="008A21CF"/>
    <w:rsid w:val="008A35B3"/>
    <w:rsid w:val="008A5C84"/>
    <w:rsid w:val="008A5F6E"/>
    <w:rsid w:val="008A6BCD"/>
    <w:rsid w:val="008A7ECD"/>
    <w:rsid w:val="008B08FD"/>
    <w:rsid w:val="008B18D5"/>
    <w:rsid w:val="008B1E90"/>
    <w:rsid w:val="008B2613"/>
    <w:rsid w:val="008B31F5"/>
    <w:rsid w:val="008B3342"/>
    <w:rsid w:val="008B353F"/>
    <w:rsid w:val="008B4254"/>
    <w:rsid w:val="008B4682"/>
    <w:rsid w:val="008B491C"/>
    <w:rsid w:val="008B4F85"/>
    <w:rsid w:val="008B70F0"/>
    <w:rsid w:val="008C1305"/>
    <w:rsid w:val="008C2586"/>
    <w:rsid w:val="008C266F"/>
    <w:rsid w:val="008C299B"/>
    <w:rsid w:val="008C40AC"/>
    <w:rsid w:val="008C42CC"/>
    <w:rsid w:val="008C5F9E"/>
    <w:rsid w:val="008C67F3"/>
    <w:rsid w:val="008C736B"/>
    <w:rsid w:val="008C7E2E"/>
    <w:rsid w:val="008C7ED1"/>
    <w:rsid w:val="008D12BB"/>
    <w:rsid w:val="008D14DA"/>
    <w:rsid w:val="008D1B7D"/>
    <w:rsid w:val="008D1BBB"/>
    <w:rsid w:val="008D2184"/>
    <w:rsid w:val="008D319C"/>
    <w:rsid w:val="008D4060"/>
    <w:rsid w:val="008D440F"/>
    <w:rsid w:val="008D4678"/>
    <w:rsid w:val="008D5327"/>
    <w:rsid w:val="008D6697"/>
    <w:rsid w:val="008D6E6F"/>
    <w:rsid w:val="008D727F"/>
    <w:rsid w:val="008E0196"/>
    <w:rsid w:val="008E026A"/>
    <w:rsid w:val="008E0656"/>
    <w:rsid w:val="008E0AA2"/>
    <w:rsid w:val="008E13AD"/>
    <w:rsid w:val="008E1CBC"/>
    <w:rsid w:val="008E236C"/>
    <w:rsid w:val="008E3B83"/>
    <w:rsid w:val="008E42BA"/>
    <w:rsid w:val="008E5C58"/>
    <w:rsid w:val="008E5DC3"/>
    <w:rsid w:val="008E6B90"/>
    <w:rsid w:val="008E6E67"/>
    <w:rsid w:val="008E7A88"/>
    <w:rsid w:val="008E7BF8"/>
    <w:rsid w:val="008E7CBF"/>
    <w:rsid w:val="008F008F"/>
    <w:rsid w:val="008F0B20"/>
    <w:rsid w:val="008F1A3E"/>
    <w:rsid w:val="008F2986"/>
    <w:rsid w:val="008F2EDE"/>
    <w:rsid w:val="008F388B"/>
    <w:rsid w:val="008F3D49"/>
    <w:rsid w:val="008F5976"/>
    <w:rsid w:val="008F5DED"/>
    <w:rsid w:val="008F7B7E"/>
    <w:rsid w:val="00900986"/>
    <w:rsid w:val="00900A15"/>
    <w:rsid w:val="00900C3B"/>
    <w:rsid w:val="009055D3"/>
    <w:rsid w:val="009055D5"/>
    <w:rsid w:val="0090576F"/>
    <w:rsid w:val="00905AEF"/>
    <w:rsid w:val="00905D54"/>
    <w:rsid w:val="009072EE"/>
    <w:rsid w:val="009110D4"/>
    <w:rsid w:val="009112AA"/>
    <w:rsid w:val="00911DB6"/>
    <w:rsid w:val="0091239F"/>
    <w:rsid w:val="0091244A"/>
    <w:rsid w:val="00913423"/>
    <w:rsid w:val="00913C31"/>
    <w:rsid w:val="009160CF"/>
    <w:rsid w:val="009165E7"/>
    <w:rsid w:val="00916F6A"/>
    <w:rsid w:val="009200A6"/>
    <w:rsid w:val="00922499"/>
    <w:rsid w:val="00924E4D"/>
    <w:rsid w:val="009253C1"/>
    <w:rsid w:val="00925FEF"/>
    <w:rsid w:val="00926267"/>
    <w:rsid w:val="00927688"/>
    <w:rsid w:val="00927956"/>
    <w:rsid w:val="00931876"/>
    <w:rsid w:val="00932286"/>
    <w:rsid w:val="009325E4"/>
    <w:rsid w:val="00933C8A"/>
    <w:rsid w:val="0093464C"/>
    <w:rsid w:val="00934E46"/>
    <w:rsid w:val="00935E5C"/>
    <w:rsid w:val="00936A5C"/>
    <w:rsid w:val="0093799E"/>
    <w:rsid w:val="009420B5"/>
    <w:rsid w:val="00942356"/>
    <w:rsid w:val="0094251F"/>
    <w:rsid w:val="009431C4"/>
    <w:rsid w:val="00943342"/>
    <w:rsid w:val="00943887"/>
    <w:rsid w:val="009439E9"/>
    <w:rsid w:val="00944887"/>
    <w:rsid w:val="00945298"/>
    <w:rsid w:val="00945A6F"/>
    <w:rsid w:val="009460BB"/>
    <w:rsid w:val="00946797"/>
    <w:rsid w:val="00947FFC"/>
    <w:rsid w:val="00950B1B"/>
    <w:rsid w:val="00951619"/>
    <w:rsid w:val="0095193E"/>
    <w:rsid w:val="00951C7A"/>
    <w:rsid w:val="0095278F"/>
    <w:rsid w:val="0095305A"/>
    <w:rsid w:val="00953BC9"/>
    <w:rsid w:val="00953DF8"/>
    <w:rsid w:val="009544A4"/>
    <w:rsid w:val="00954CA1"/>
    <w:rsid w:val="00955A37"/>
    <w:rsid w:val="00955F7E"/>
    <w:rsid w:val="0095789C"/>
    <w:rsid w:val="009609CB"/>
    <w:rsid w:val="00961536"/>
    <w:rsid w:val="00962195"/>
    <w:rsid w:val="00963187"/>
    <w:rsid w:val="009633DF"/>
    <w:rsid w:val="009654AB"/>
    <w:rsid w:val="00966478"/>
    <w:rsid w:val="00971671"/>
    <w:rsid w:val="00973B60"/>
    <w:rsid w:val="009757BC"/>
    <w:rsid w:val="00975C6B"/>
    <w:rsid w:val="00975E70"/>
    <w:rsid w:val="009760B7"/>
    <w:rsid w:val="009764B7"/>
    <w:rsid w:val="00976A77"/>
    <w:rsid w:val="009776A6"/>
    <w:rsid w:val="0098338C"/>
    <w:rsid w:val="00983BF7"/>
    <w:rsid w:val="00983C43"/>
    <w:rsid w:val="0098490E"/>
    <w:rsid w:val="00985AF1"/>
    <w:rsid w:val="009876DA"/>
    <w:rsid w:val="00991054"/>
    <w:rsid w:val="0099230B"/>
    <w:rsid w:val="009923B0"/>
    <w:rsid w:val="00993C4E"/>
    <w:rsid w:val="00995AC7"/>
    <w:rsid w:val="00995D1A"/>
    <w:rsid w:val="009969C3"/>
    <w:rsid w:val="00996A35"/>
    <w:rsid w:val="00996D91"/>
    <w:rsid w:val="00997060"/>
    <w:rsid w:val="009A1120"/>
    <w:rsid w:val="009A1D5C"/>
    <w:rsid w:val="009A21F0"/>
    <w:rsid w:val="009A23BD"/>
    <w:rsid w:val="009A2C7B"/>
    <w:rsid w:val="009A3351"/>
    <w:rsid w:val="009A4419"/>
    <w:rsid w:val="009A4557"/>
    <w:rsid w:val="009A4BD0"/>
    <w:rsid w:val="009A4BE7"/>
    <w:rsid w:val="009A529E"/>
    <w:rsid w:val="009A5376"/>
    <w:rsid w:val="009A56F7"/>
    <w:rsid w:val="009A684D"/>
    <w:rsid w:val="009A76CE"/>
    <w:rsid w:val="009A7952"/>
    <w:rsid w:val="009B01E8"/>
    <w:rsid w:val="009B050F"/>
    <w:rsid w:val="009B0E38"/>
    <w:rsid w:val="009B120D"/>
    <w:rsid w:val="009B1310"/>
    <w:rsid w:val="009B2096"/>
    <w:rsid w:val="009B40C7"/>
    <w:rsid w:val="009B4E87"/>
    <w:rsid w:val="009B5FAD"/>
    <w:rsid w:val="009B71E8"/>
    <w:rsid w:val="009C149A"/>
    <w:rsid w:val="009C153A"/>
    <w:rsid w:val="009C1839"/>
    <w:rsid w:val="009C1C66"/>
    <w:rsid w:val="009C1D45"/>
    <w:rsid w:val="009C2BD3"/>
    <w:rsid w:val="009C43BE"/>
    <w:rsid w:val="009C4754"/>
    <w:rsid w:val="009C5BC8"/>
    <w:rsid w:val="009C6326"/>
    <w:rsid w:val="009C6EF3"/>
    <w:rsid w:val="009C73D7"/>
    <w:rsid w:val="009C7D14"/>
    <w:rsid w:val="009D01E2"/>
    <w:rsid w:val="009D05B1"/>
    <w:rsid w:val="009D2249"/>
    <w:rsid w:val="009D237A"/>
    <w:rsid w:val="009D346A"/>
    <w:rsid w:val="009D42F5"/>
    <w:rsid w:val="009D51FE"/>
    <w:rsid w:val="009D5316"/>
    <w:rsid w:val="009D5ABA"/>
    <w:rsid w:val="009E16E2"/>
    <w:rsid w:val="009E171B"/>
    <w:rsid w:val="009E2ABA"/>
    <w:rsid w:val="009E347D"/>
    <w:rsid w:val="009E476A"/>
    <w:rsid w:val="009E4C0A"/>
    <w:rsid w:val="009E5150"/>
    <w:rsid w:val="009E55AF"/>
    <w:rsid w:val="009E6110"/>
    <w:rsid w:val="009E7D9F"/>
    <w:rsid w:val="009F028E"/>
    <w:rsid w:val="009F091A"/>
    <w:rsid w:val="009F0D85"/>
    <w:rsid w:val="009F1C31"/>
    <w:rsid w:val="009F3321"/>
    <w:rsid w:val="009F3949"/>
    <w:rsid w:val="009F4BEB"/>
    <w:rsid w:val="009F5C45"/>
    <w:rsid w:val="009F5EF7"/>
    <w:rsid w:val="009F6416"/>
    <w:rsid w:val="009F711B"/>
    <w:rsid w:val="00A00CF5"/>
    <w:rsid w:val="00A012D1"/>
    <w:rsid w:val="00A01E70"/>
    <w:rsid w:val="00A033A6"/>
    <w:rsid w:val="00A03692"/>
    <w:rsid w:val="00A051F5"/>
    <w:rsid w:val="00A05257"/>
    <w:rsid w:val="00A0576A"/>
    <w:rsid w:val="00A05AB0"/>
    <w:rsid w:val="00A05C01"/>
    <w:rsid w:val="00A06052"/>
    <w:rsid w:val="00A06BE6"/>
    <w:rsid w:val="00A10367"/>
    <w:rsid w:val="00A1163E"/>
    <w:rsid w:val="00A11648"/>
    <w:rsid w:val="00A11A49"/>
    <w:rsid w:val="00A11B9F"/>
    <w:rsid w:val="00A122EF"/>
    <w:rsid w:val="00A12331"/>
    <w:rsid w:val="00A12788"/>
    <w:rsid w:val="00A12AD8"/>
    <w:rsid w:val="00A13E49"/>
    <w:rsid w:val="00A14256"/>
    <w:rsid w:val="00A153DA"/>
    <w:rsid w:val="00A15466"/>
    <w:rsid w:val="00A16D83"/>
    <w:rsid w:val="00A21D67"/>
    <w:rsid w:val="00A23C2F"/>
    <w:rsid w:val="00A24B3B"/>
    <w:rsid w:val="00A305CD"/>
    <w:rsid w:val="00A30D3A"/>
    <w:rsid w:val="00A32797"/>
    <w:rsid w:val="00A32B28"/>
    <w:rsid w:val="00A3521A"/>
    <w:rsid w:val="00A37C12"/>
    <w:rsid w:val="00A409A9"/>
    <w:rsid w:val="00A40CF5"/>
    <w:rsid w:val="00A42005"/>
    <w:rsid w:val="00A423CC"/>
    <w:rsid w:val="00A42475"/>
    <w:rsid w:val="00A441E9"/>
    <w:rsid w:val="00A44AA2"/>
    <w:rsid w:val="00A45235"/>
    <w:rsid w:val="00A45C13"/>
    <w:rsid w:val="00A473D4"/>
    <w:rsid w:val="00A474E2"/>
    <w:rsid w:val="00A4752F"/>
    <w:rsid w:val="00A50E7D"/>
    <w:rsid w:val="00A51223"/>
    <w:rsid w:val="00A51E28"/>
    <w:rsid w:val="00A51FDA"/>
    <w:rsid w:val="00A528B7"/>
    <w:rsid w:val="00A53C65"/>
    <w:rsid w:val="00A5467C"/>
    <w:rsid w:val="00A55137"/>
    <w:rsid w:val="00A551D6"/>
    <w:rsid w:val="00A554FF"/>
    <w:rsid w:val="00A55E60"/>
    <w:rsid w:val="00A57BD4"/>
    <w:rsid w:val="00A57C2F"/>
    <w:rsid w:val="00A57F06"/>
    <w:rsid w:val="00A604F6"/>
    <w:rsid w:val="00A60E78"/>
    <w:rsid w:val="00A61172"/>
    <w:rsid w:val="00A61435"/>
    <w:rsid w:val="00A62729"/>
    <w:rsid w:val="00A64EE9"/>
    <w:rsid w:val="00A65083"/>
    <w:rsid w:val="00A657A1"/>
    <w:rsid w:val="00A7124F"/>
    <w:rsid w:val="00A71E71"/>
    <w:rsid w:val="00A73DE9"/>
    <w:rsid w:val="00A757E8"/>
    <w:rsid w:val="00A76910"/>
    <w:rsid w:val="00A804DA"/>
    <w:rsid w:val="00A81DFF"/>
    <w:rsid w:val="00A82A92"/>
    <w:rsid w:val="00A83D1E"/>
    <w:rsid w:val="00A841E8"/>
    <w:rsid w:val="00A84308"/>
    <w:rsid w:val="00A86F97"/>
    <w:rsid w:val="00A872D7"/>
    <w:rsid w:val="00A8744A"/>
    <w:rsid w:val="00A87C94"/>
    <w:rsid w:val="00A90082"/>
    <w:rsid w:val="00A92455"/>
    <w:rsid w:val="00A94C54"/>
    <w:rsid w:val="00A96BD4"/>
    <w:rsid w:val="00A971AE"/>
    <w:rsid w:val="00AA0F05"/>
    <w:rsid w:val="00AA0F69"/>
    <w:rsid w:val="00AA3451"/>
    <w:rsid w:val="00AA3B1D"/>
    <w:rsid w:val="00AA62A2"/>
    <w:rsid w:val="00AB0DA6"/>
    <w:rsid w:val="00AB37E2"/>
    <w:rsid w:val="00AB3C58"/>
    <w:rsid w:val="00AB41E0"/>
    <w:rsid w:val="00AB5859"/>
    <w:rsid w:val="00AB6579"/>
    <w:rsid w:val="00AB6B65"/>
    <w:rsid w:val="00AC081F"/>
    <w:rsid w:val="00AC09B0"/>
    <w:rsid w:val="00AC2188"/>
    <w:rsid w:val="00AC2513"/>
    <w:rsid w:val="00AC2EB0"/>
    <w:rsid w:val="00AC33AB"/>
    <w:rsid w:val="00AC377A"/>
    <w:rsid w:val="00AC39A3"/>
    <w:rsid w:val="00AC3C99"/>
    <w:rsid w:val="00AC457A"/>
    <w:rsid w:val="00AC49E1"/>
    <w:rsid w:val="00AC52CC"/>
    <w:rsid w:val="00AC6392"/>
    <w:rsid w:val="00AC65F0"/>
    <w:rsid w:val="00AC6F7B"/>
    <w:rsid w:val="00AC7296"/>
    <w:rsid w:val="00AC7A21"/>
    <w:rsid w:val="00AC7A4B"/>
    <w:rsid w:val="00AD2172"/>
    <w:rsid w:val="00AD46F6"/>
    <w:rsid w:val="00AD487B"/>
    <w:rsid w:val="00AD6147"/>
    <w:rsid w:val="00AD655B"/>
    <w:rsid w:val="00AD7321"/>
    <w:rsid w:val="00AE06CC"/>
    <w:rsid w:val="00AE0D6F"/>
    <w:rsid w:val="00AE190A"/>
    <w:rsid w:val="00AE22BC"/>
    <w:rsid w:val="00AE361A"/>
    <w:rsid w:val="00AE4178"/>
    <w:rsid w:val="00AF09CE"/>
    <w:rsid w:val="00AF0C5B"/>
    <w:rsid w:val="00AF313B"/>
    <w:rsid w:val="00AF5429"/>
    <w:rsid w:val="00AF56F7"/>
    <w:rsid w:val="00AF771F"/>
    <w:rsid w:val="00AF788E"/>
    <w:rsid w:val="00B00E09"/>
    <w:rsid w:val="00B01431"/>
    <w:rsid w:val="00B01871"/>
    <w:rsid w:val="00B01B7E"/>
    <w:rsid w:val="00B0232F"/>
    <w:rsid w:val="00B055BE"/>
    <w:rsid w:val="00B06CF0"/>
    <w:rsid w:val="00B072C8"/>
    <w:rsid w:val="00B105B2"/>
    <w:rsid w:val="00B10B2A"/>
    <w:rsid w:val="00B112EF"/>
    <w:rsid w:val="00B12007"/>
    <w:rsid w:val="00B124B5"/>
    <w:rsid w:val="00B126AE"/>
    <w:rsid w:val="00B12A19"/>
    <w:rsid w:val="00B12AC1"/>
    <w:rsid w:val="00B132EF"/>
    <w:rsid w:val="00B13672"/>
    <w:rsid w:val="00B142DB"/>
    <w:rsid w:val="00B14E64"/>
    <w:rsid w:val="00B15A97"/>
    <w:rsid w:val="00B16094"/>
    <w:rsid w:val="00B16D65"/>
    <w:rsid w:val="00B2070A"/>
    <w:rsid w:val="00B20F5F"/>
    <w:rsid w:val="00B2135D"/>
    <w:rsid w:val="00B2241C"/>
    <w:rsid w:val="00B22517"/>
    <w:rsid w:val="00B2257B"/>
    <w:rsid w:val="00B254A6"/>
    <w:rsid w:val="00B258C2"/>
    <w:rsid w:val="00B25F2F"/>
    <w:rsid w:val="00B2623C"/>
    <w:rsid w:val="00B27FD9"/>
    <w:rsid w:val="00B305BF"/>
    <w:rsid w:val="00B30B81"/>
    <w:rsid w:val="00B313E6"/>
    <w:rsid w:val="00B328BF"/>
    <w:rsid w:val="00B32EB4"/>
    <w:rsid w:val="00B32FF4"/>
    <w:rsid w:val="00B332A2"/>
    <w:rsid w:val="00B33A3A"/>
    <w:rsid w:val="00B37E32"/>
    <w:rsid w:val="00B4083C"/>
    <w:rsid w:val="00B417A9"/>
    <w:rsid w:val="00B41D23"/>
    <w:rsid w:val="00B42A0F"/>
    <w:rsid w:val="00B4563C"/>
    <w:rsid w:val="00B47273"/>
    <w:rsid w:val="00B51165"/>
    <w:rsid w:val="00B51D99"/>
    <w:rsid w:val="00B537DE"/>
    <w:rsid w:val="00B53957"/>
    <w:rsid w:val="00B53D05"/>
    <w:rsid w:val="00B53FDE"/>
    <w:rsid w:val="00B5429F"/>
    <w:rsid w:val="00B548EB"/>
    <w:rsid w:val="00B54E5A"/>
    <w:rsid w:val="00B55658"/>
    <w:rsid w:val="00B56D3F"/>
    <w:rsid w:val="00B57162"/>
    <w:rsid w:val="00B603FC"/>
    <w:rsid w:val="00B61FD8"/>
    <w:rsid w:val="00B620EB"/>
    <w:rsid w:val="00B63490"/>
    <w:rsid w:val="00B6493E"/>
    <w:rsid w:val="00B6551C"/>
    <w:rsid w:val="00B67ACB"/>
    <w:rsid w:val="00B74AB2"/>
    <w:rsid w:val="00B755A8"/>
    <w:rsid w:val="00B769E3"/>
    <w:rsid w:val="00B80287"/>
    <w:rsid w:val="00B8112A"/>
    <w:rsid w:val="00B81659"/>
    <w:rsid w:val="00B821A2"/>
    <w:rsid w:val="00B8436C"/>
    <w:rsid w:val="00B868D1"/>
    <w:rsid w:val="00B86D22"/>
    <w:rsid w:val="00B878D2"/>
    <w:rsid w:val="00B914F5"/>
    <w:rsid w:val="00B914F7"/>
    <w:rsid w:val="00B91A38"/>
    <w:rsid w:val="00B91D2C"/>
    <w:rsid w:val="00B93641"/>
    <w:rsid w:val="00B94DA5"/>
    <w:rsid w:val="00B952C8"/>
    <w:rsid w:val="00B95D28"/>
    <w:rsid w:val="00B962B3"/>
    <w:rsid w:val="00B96BB3"/>
    <w:rsid w:val="00B96EDD"/>
    <w:rsid w:val="00B974BD"/>
    <w:rsid w:val="00B9771D"/>
    <w:rsid w:val="00BA03A7"/>
    <w:rsid w:val="00BA041F"/>
    <w:rsid w:val="00BA069B"/>
    <w:rsid w:val="00BA0786"/>
    <w:rsid w:val="00BA10D2"/>
    <w:rsid w:val="00BA1855"/>
    <w:rsid w:val="00BA30CD"/>
    <w:rsid w:val="00BA351D"/>
    <w:rsid w:val="00BA367A"/>
    <w:rsid w:val="00BA37AF"/>
    <w:rsid w:val="00BA3FF0"/>
    <w:rsid w:val="00BA48DC"/>
    <w:rsid w:val="00BB0060"/>
    <w:rsid w:val="00BB0076"/>
    <w:rsid w:val="00BB0FEE"/>
    <w:rsid w:val="00BB22C5"/>
    <w:rsid w:val="00BB3199"/>
    <w:rsid w:val="00BB3BA3"/>
    <w:rsid w:val="00BB3EFF"/>
    <w:rsid w:val="00BB535D"/>
    <w:rsid w:val="00BB575B"/>
    <w:rsid w:val="00BB5BCE"/>
    <w:rsid w:val="00BB600F"/>
    <w:rsid w:val="00BB6FCF"/>
    <w:rsid w:val="00BB7CFE"/>
    <w:rsid w:val="00BB7E80"/>
    <w:rsid w:val="00BC041E"/>
    <w:rsid w:val="00BC0FF1"/>
    <w:rsid w:val="00BC11F8"/>
    <w:rsid w:val="00BC1557"/>
    <w:rsid w:val="00BC1A2E"/>
    <w:rsid w:val="00BC3C15"/>
    <w:rsid w:val="00BC463A"/>
    <w:rsid w:val="00BC51D1"/>
    <w:rsid w:val="00BC5FD3"/>
    <w:rsid w:val="00BC61FB"/>
    <w:rsid w:val="00BC67DC"/>
    <w:rsid w:val="00BC728E"/>
    <w:rsid w:val="00BC7C3F"/>
    <w:rsid w:val="00BD003F"/>
    <w:rsid w:val="00BD0920"/>
    <w:rsid w:val="00BD0CB7"/>
    <w:rsid w:val="00BD0CD9"/>
    <w:rsid w:val="00BD2740"/>
    <w:rsid w:val="00BD304B"/>
    <w:rsid w:val="00BD468B"/>
    <w:rsid w:val="00BD5766"/>
    <w:rsid w:val="00BD74B0"/>
    <w:rsid w:val="00BD7622"/>
    <w:rsid w:val="00BD7706"/>
    <w:rsid w:val="00BE0A47"/>
    <w:rsid w:val="00BE0D80"/>
    <w:rsid w:val="00BE1643"/>
    <w:rsid w:val="00BE1F31"/>
    <w:rsid w:val="00BE262C"/>
    <w:rsid w:val="00BE39C6"/>
    <w:rsid w:val="00BE5337"/>
    <w:rsid w:val="00BE5794"/>
    <w:rsid w:val="00BE5DD0"/>
    <w:rsid w:val="00BE7EDF"/>
    <w:rsid w:val="00BF2C84"/>
    <w:rsid w:val="00BF3D34"/>
    <w:rsid w:val="00BF4074"/>
    <w:rsid w:val="00BF4A9A"/>
    <w:rsid w:val="00BF587A"/>
    <w:rsid w:val="00BF5898"/>
    <w:rsid w:val="00BF6192"/>
    <w:rsid w:val="00BF6945"/>
    <w:rsid w:val="00C003D6"/>
    <w:rsid w:val="00C009E2"/>
    <w:rsid w:val="00C01462"/>
    <w:rsid w:val="00C0207D"/>
    <w:rsid w:val="00C02C6E"/>
    <w:rsid w:val="00C032D2"/>
    <w:rsid w:val="00C04881"/>
    <w:rsid w:val="00C069C8"/>
    <w:rsid w:val="00C1076E"/>
    <w:rsid w:val="00C1093C"/>
    <w:rsid w:val="00C10A20"/>
    <w:rsid w:val="00C10D70"/>
    <w:rsid w:val="00C132E9"/>
    <w:rsid w:val="00C13AC7"/>
    <w:rsid w:val="00C15372"/>
    <w:rsid w:val="00C15ADB"/>
    <w:rsid w:val="00C16557"/>
    <w:rsid w:val="00C20BDA"/>
    <w:rsid w:val="00C213CB"/>
    <w:rsid w:val="00C22285"/>
    <w:rsid w:val="00C23E88"/>
    <w:rsid w:val="00C25EAF"/>
    <w:rsid w:val="00C26F86"/>
    <w:rsid w:val="00C27502"/>
    <w:rsid w:val="00C276E2"/>
    <w:rsid w:val="00C300CF"/>
    <w:rsid w:val="00C30ABF"/>
    <w:rsid w:val="00C31882"/>
    <w:rsid w:val="00C31C3D"/>
    <w:rsid w:val="00C31C80"/>
    <w:rsid w:val="00C321EF"/>
    <w:rsid w:val="00C334AF"/>
    <w:rsid w:val="00C33B24"/>
    <w:rsid w:val="00C3427E"/>
    <w:rsid w:val="00C35961"/>
    <w:rsid w:val="00C37E68"/>
    <w:rsid w:val="00C4044C"/>
    <w:rsid w:val="00C41FDF"/>
    <w:rsid w:val="00C4203A"/>
    <w:rsid w:val="00C42BBD"/>
    <w:rsid w:val="00C4345B"/>
    <w:rsid w:val="00C4423A"/>
    <w:rsid w:val="00C45024"/>
    <w:rsid w:val="00C46516"/>
    <w:rsid w:val="00C46FB7"/>
    <w:rsid w:val="00C5105A"/>
    <w:rsid w:val="00C53042"/>
    <w:rsid w:val="00C54166"/>
    <w:rsid w:val="00C547EE"/>
    <w:rsid w:val="00C556A6"/>
    <w:rsid w:val="00C55AFF"/>
    <w:rsid w:val="00C56C48"/>
    <w:rsid w:val="00C576B0"/>
    <w:rsid w:val="00C60DDA"/>
    <w:rsid w:val="00C6157A"/>
    <w:rsid w:val="00C622E4"/>
    <w:rsid w:val="00C62E90"/>
    <w:rsid w:val="00C631A6"/>
    <w:rsid w:val="00C6322D"/>
    <w:rsid w:val="00C641F3"/>
    <w:rsid w:val="00C651E6"/>
    <w:rsid w:val="00C65295"/>
    <w:rsid w:val="00C667D3"/>
    <w:rsid w:val="00C718F6"/>
    <w:rsid w:val="00C72EBB"/>
    <w:rsid w:val="00C73A38"/>
    <w:rsid w:val="00C759D7"/>
    <w:rsid w:val="00C75E4C"/>
    <w:rsid w:val="00C76231"/>
    <w:rsid w:val="00C76969"/>
    <w:rsid w:val="00C76CDB"/>
    <w:rsid w:val="00C76E0C"/>
    <w:rsid w:val="00C77D96"/>
    <w:rsid w:val="00C8031A"/>
    <w:rsid w:val="00C81C18"/>
    <w:rsid w:val="00C8271C"/>
    <w:rsid w:val="00C82B24"/>
    <w:rsid w:val="00C832E6"/>
    <w:rsid w:val="00C839CE"/>
    <w:rsid w:val="00C83B11"/>
    <w:rsid w:val="00C8506C"/>
    <w:rsid w:val="00C86A11"/>
    <w:rsid w:val="00C86B13"/>
    <w:rsid w:val="00C9244C"/>
    <w:rsid w:val="00C926C5"/>
    <w:rsid w:val="00C928B4"/>
    <w:rsid w:val="00C928C9"/>
    <w:rsid w:val="00C946F8"/>
    <w:rsid w:val="00C94B63"/>
    <w:rsid w:val="00C94C76"/>
    <w:rsid w:val="00C95C9D"/>
    <w:rsid w:val="00C9747A"/>
    <w:rsid w:val="00CA0332"/>
    <w:rsid w:val="00CA1DFF"/>
    <w:rsid w:val="00CA28DA"/>
    <w:rsid w:val="00CA2A83"/>
    <w:rsid w:val="00CA2AC6"/>
    <w:rsid w:val="00CA3859"/>
    <w:rsid w:val="00CA530C"/>
    <w:rsid w:val="00CA6499"/>
    <w:rsid w:val="00CA6CEB"/>
    <w:rsid w:val="00CA79C3"/>
    <w:rsid w:val="00CB0934"/>
    <w:rsid w:val="00CB19A2"/>
    <w:rsid w:val="00CB1DB5"/>
    <w:rsid w:val="00CB2A16"/>
    <w:rsid w:val="00CB3136"/>
    <w:rsid w:val="00CB37C9"/>
    <w:rsid w:val="00CB39AA"/>
    <w:rsid w:val="00CB3BD5"/>
    <w:rsid w:val="00CB4623"/>
    <w:rsid w:val="00CB5540"/>
    <w:rsid w:val="00CB62B1"/>
    <w:rsid w:val="00CB6EB4"/>
    <w:rsid w:val="00CB70B7"/>
    <w:rsid w:val="00CB7132"/>
    <w:rsid w:val="00CC11BE"/>
    <w:rsid w:val="00CC184D"/>
    <w:rsid w:val="00CC1F0B"/>
    <w:rsid w:val="00CC2258"/>
    <w:rsid w:val="00CC34F6"/>
    <w:rsid w:val="00CC3A48"/>
    <w:rsid w:val="00CC458D"/>
    <w:rsid w:val="00CC4BBA"/>
    <w:rsid w:val="00CC592B"/>
    <w:rsid w:val="00CC5BE0"/>
    <w:rsid w:val="00CC5CC9"/>
    <w:rsid w:val="00CC7032"/>
    <w:rsid w:val="00CC7865"/>
    <w:rsid w:val="00CD0E0D"/>
    <w:rsid w:val="00CD121A"/>
    <w:rsid w:val="00CD2CF6"/>
    <w:rsid w:val="00CD30E0"/>
    <w:rsid w:val="00CD503B"/>
    <w:rsid w:val="00CD55A1"/>
    <w:rsid w:val="00CD55AF"/>
    <w:rsid w:val="00CD6471"/>
    <w:rsid w:val="00CD6CA9"/>
    <w:rsid w:val="00CD7E5C"/>
    <w:rsid w:val="00CE3B1D"/>
    <w:rsid w:val="00CE4A44"/>
    <w:rsid w:val="00CE571C"/>
    <w:rsid w:val="00CE65D6"/>
    <w:rsid w:val="00CE74EE"/>
    <w:rsid w:val="00CE76CE"/>
    <w:rsid w:val="00CE794B"/>
    <w:rsid w:val="00CE7A6F"/>
    <w:rsid w:val="00CF0063"/>
    <w:rsid w:val="00CF0692"/>
    <w:rsid w:val="00CF1C5B"/>
    <w:rsid w:val="00CF3709"/>
    <w:rsid w:val="00CF4BDF"/>
    <w:rsid w:val="00CF52BE"/>
    <w:rsid w:val="00CF698D"/>
    <w:rsid w:val="00CF71E9"/>
    <w:rsid w:val="00CF7676"/>
    <w:rsid w:val="00CF7AFE"/>
    <w:rsid w:val="00CF7BC3"/>
    <w:rsid w:val="00D00BDA"/>
    <w:rsid w:val="00D012F1"/>
    <w:rsid w:val="00D01479"/>
    <w:rsid w:val="00D0188E"/>
    <w:rsid w:val="00D01FC6"/>
    <w:rsid w:val="00D029F6"/>
    <w:rsid w:val="00D0374D"/>
    <w:rsid w:val="00D03755"/>
    <w:rsid w:val="00D046C6"/>
    <w:rsid w:val="00D06081"/>
    <w:rsid w:val="00D060CA"/>
    <w:rsid w:val="00D071B2"/>
    <w:rsid w:val="00D07C18"/>
    <w:rsid w:val="00D10338"/>
    <w:rsid w:val="00D10AF7"/>
    <w:rsid w:val="00D110F0"/>
    <w:rsid w:val="00D11DC0"/>
    <w:rsid w:val="00D128CB"/>
    <w:rsid w:val="00D12BB5"/>
    <w:rsid w:val="00D133A1"/>
    <w:rsid w:val="00D139E5"/>
    <w:rsid w:val="00D148E6"/>
    <w:rsid w:val="00D149DD"/>
    <w:rsid w:val="00D14C22"/>
    <w:rsid w:val="00D14E3C"/>
    <w:rsid w:val="00D14F19"/>
    <w:rsid w:val="00D1627E"/>
    <w:rsid w:val="00D1685D"/>
    <w:rsid w:val="00D176A1"/>
    <w:rsid w:val="00D21877"/>
    <w:rsid w:val="00D21BC3"/>
    <w:rsid w:val="00D21C3B"/>
    <w:rsid w:val="00D22DF3"/>
    <w:rsid w:val="00D22DFF"/>
    <w:rsid w:val="00D242F5"/>
    <w:rsid w:val="00D246CE"/>
    <w:rsid w:val="00D25015"/>
    <w:rsid w:val="00D2622F"/>
    <w:rsid w:val="00D26D2B"/>
    <w:rsid w:val="00D27FBC"/>
    <w:rsid w:val="00D301A3"/>
    <w:rsid w:val="00D31312"/>
    <w:rsid w:val="00D32CA6"/>
    <w:rsid w:val="00D33750"/>
    <w:rsid w:val="00D36A08"/>
    <w:rsid w:val="00D40237"/>
    <w:rsid w:val="00D4106C"/>
    <w:rsid w:val="00D410D5"/>
    <w:rsid w:val="00D41CCD"/>
    <w:rsid w:val="00D42A36"/>
    <w:rsid w:val="00D44CF2"/>
    <w:rsid w:val="00D45246"/>
    <w:rsid w:val="00D4563B"/>
    <w:rsid w:val="00D45BC7"/>
    <w:rsid w:val="00D476C7"/>
    <w:rsid w:val="00D47FF0"/>
    <w:rsid w:val="00D51696"/>
    <w:rsid w:val="00D51971"/>
    <w:rsid w:val="00D5279C"/>
    <w:rsid w:val="00D52C52"/>
    <w:rsid w:val="00D53E80"/>
    <w:rsid w:val="00D54BD8"/>
    <w:rsid w:val="00D54C28"/>
    <w:rsid w:val="00D55324"/>
    <w:rsid w:val="00D55E99"/>
    <w:rsid w:val="00D57164"/>
    <w:rsid w:val="00D62528"/>
    <w:rsid w:val="00D62A37"/>
    <w:rsid w:val="00D62CE7"/>
    <w:rsid w:val="00D6423A"/>
    <w:rsid w:val="00D64282"/>
    <w:rsid w:val="00D64520"/>
    <w:rsid w:val="00D64EF7"/>
    <w:rsid w:val="00D651FB"/>
    <w:rsid w:val="00D656D4"/>
    <w:rsid w:val="00D65DA6"/>
    <w:rsid w:val="00D667F2"/>
    <w:rsid w:val="00D66A9E"/>
    <w:rsid w:val="00D67A19"/>
    <w:rsid w:val="00D707F1"/>
    <w:rsid w:val="00D7214A"/>
    <w:rsid w:val="00D72361"/>
    <w:rsid w:val="00D746B1"/>
    <w:rsid w:val="00D7488E"/>
    <w:rsid w:val="00D75084"/>
    <w:rsid w:val="00D75097"/>
    <w:rsid w:val="00D75E98"/>
    <w:rsid w:val="00D765D7"/>
    <w:rsid w:val="00D76835"/>
    <w:rsid w:val="00D80607"/>
    <w:rsid w:val="00D80D6B"/>
    <w:rsid w:val="00D813D5"/>
    <w:rsid w:val="00D8182A"/>
    <w:rsid w:val="00D81CAA"/>
    <w:rsid w:val="00D820CF"/>
    <w:rsid w:val="00D822ED"/>
    <w:rsid w:val="00D8293B"/>
    <w:rsid w:val="00D83E35"/>
    <w:rsid w:val="00D841A2"/>
    <w:rsid w:val="00D85071"/>
    <w:rsid w:val="00D85A7A"/>
    <w:rsid w:val="00D85FDE"/>
    <w:rsid w:val="00D8637B"/>
    <w:rsid w:val="00D86F7F"/>
    <w:rsid w:val="00D900E5"/>
    <w:rsid w:val="00D916FB"/>
    <w:rsid w:val="00D92927"/>
    <w:rsid w:val="00D92CC7"/>
    <w:rsid w:val="00D93291"/>
    <w:rsid w:val="00D9341A"/>
    <w:rsid w:val="00D93B12"/>
    <w:rsid w:val="00D942F7"/>
    <w:rsid w:val="00D956D5"/>
    <w:rsid w:val="00D9690A"/>
    <w:rsid w:val="00D96E4A"/>
    <w:rsid w:val="00D96F6F"/>
    <w:rsid w:val="00DA04FA"/>
    <w:rsid w:val="00DA0F3B"/>
    <w:rsid w:val="00DA15CF"/>
    <w:rsid w:val="00DA203A"/>
    <w:rsid w:val="00DA2D26"/>
    <w:rsid w:val="00DA2F6E"/>
    <w:rsid w:val="00DA3DF3"/>
    <w:rsid w:val="00DA4902"/>
    <w:rsid w:val="00DA4A48"/>
    <w:rsid w:val="00DA5431"/>
    <w:rsid w:val="00DA7FD9"/>
    <w:rsid w:val="00DB07AD"/>
    <w:rsid w:val="00DB2369"/>
    <w:rsid w:val="00DB248E"/>
    <w:rsid w:val="00DB2B9E"/>
    <w:rsid w:val="00DB3A71"/>
    <w:rsid w:val="00DB4057"/>
    <w:rsid w:val="00DB552F"/>
    <w:rsid w:val="00DB7162"/>
    <w:rsid w:val="00DB77F5"/>
    <w:rsid w:val="00DC0C61"/>
    <w:rsid w:val="00DC1208"/>
    <w:rsid w:val="00DC1415"/>
    <w:rsid w:val="00DC1B57"/>
    <w:rsid w:val="00DC29A6"/>
    <w:rsid w:val="00DC5DA7"/>
    <w:rsid w:val="00DC6600"/>
    <w:rsid w:val="00DD0C2E"/>
    <w:rsid w:val="00DD1EFF"/>
    <w:rsid w:val="00DD4105"/>
    <w:rsid w:val="00DD45DA"/>
    <w:rsid w:val="00DD4E2F"/>
    <w:rsid w:val="00DD5A35"/>
    <w:rsid w:val="00DD5C31"/>
    <w:rsid w:val="00DD5FC0"/>
    <w:rsid w:val="00DD6292"/>
    <w:rsid w:val="00DD64D4"/>
    <w:rsid w:val="00DD730B"/>
    <w:rsid w:val="00DD7B86"/>
    <w:rsid w:val="00DE0777"/>
    <w:rsid w:val="00DE2372"/>
    <w:rsid w:val="00DE2F7A"/>
    <w:rsid w:val="00DE3EAC"/>
    <w:rsid w:val="00DE47C5"/>
    <w:rsid w:val="00DE500E"/>
    <w:rsid w:val="00DE5576"/>
    <w:rsid w:val="00DF0CB9"/>
    <w:rsid w:val="00DF0EBB"/>
    <w:rsid w:val="00DF23EE"/>
    <w:rsid w:val="00DF2413"/>
    <w:rsid w:val="00DF49A9"/>
    <w:rsid w:val="00DF5DB3"/>
    <w:rsid w:val="00DF7915"/>
    <w:rsid w:val="00E019DC"/>
    <w:rsid w:val="00E0223D"/>
    <w:rsid w:val="00E02EC8"/>
    <w:rsid w:val="00E02F49"/>
    <w:rsid w:val="00E0370B"/>
    <w:rsid w:val="00E03CFE"/>
    <w:rsid w:val="00E04ED9"/>
    <w:rsid w:val="00E065E3"/>
    <w:rsid w:val="00E06B1C"/>
    <w:rsid w:val="00E06D24"/>
    <w:rsid w:val="00E075DD"/>
    <w:rsid w:val="00E1100A"/>
    <w:rsid w:val="00E12CA0"/>
    <w:rsid w:val="00E135AE"/>
    <w:rsid w:val="00E1374C"/>
    <w:rsid w:val="00E155AE"/>
    <w:rsid w:val="00E15A87"/>
    <w:rsid w:val="00E15D95"/>
    <w:rsid w:val="00E15F39"/>
    <w:rsid w:val="00E211AD"/>
    <w:rsid w:val="00E21EEB"/>
    <w:rsid w:val="00E2246F"/>
    <w:rsid w:val="00E2251A"/>
    <w:rsid w:val="00E2565E"/>
    <w:rsid w:val="00E27166"/>
    <w:rsid w:val="00E273D8"/>
    <w:rsid w:val="00E300BE"/>
    <w:rsid w:val="00E30245"/>
    <w:rsid w:val="00E30747"/>
    <w:rsid w:val="00E3117F"/>
    <w:rsid w:val="00E3158C"/>
    <w:rsid w:val="00E318ED"/>
    <w:rsid w:val="00E323FB"/>
    <w:rsid w:val="00E32823"/>
    <w:rsid w:val="00E32BDA"/>
    <w:rsid w:val="00E33B38"/>
    <w:rsid w:val="00E33F77"/>
    <w:rsid w:val="00E346D7"/>
    <w:rsid w:val="00E368BD"/>
    <w:rsid w:val="00E369A6"/>
    <w:rsid w:val="00E37849"/>
    <w:rsid w:val="00E41CA4"/>
    <w:rsid w:val="00E44DE5"/>
    <w:rsid w:val="00E46696"/>
    <w:rsid w:val="00E47A49"/>
    <w:rsid w:val="00E47E12"/>
    <w:rsid w:val="00E51560"/>
    <w:rsid w:val="00E51775"/>
    <w:rsid w:val="00E5187B"/>
    <w:rsid w:val="00E53F57"/>
    <w:rsid w:val="00E545C8"/>
    <w:rsid w:val="00E55529"/>
    <w:rsid w:val="00E562A3"/>
    <w:rsid w:val="00E56DDA"/>
    <w:rsid w:val="00E57AE9"/>
    <w:rsid w:val="00E60D98"/>
    <w:rsid w:val="00E633B8"/>
    <w:rsid w:val="00E64B60"/>
    <w:rsid w:val="00E65C49"/>
    <w:rsid w:val="00E665F3"/>
    <w:rsid w:val="00E671A4"/>
    <w:rsid w:val="00E6791C"/>
    <w:rsid w:val="00E70363"/>
    <w:rsid w:val="00E714B2"/>
    <w:rsid w:val="00E75062"/>
    <w:rsid w:val="00E75464"/>
    <w:rsid w:val="00E757B2"/>
    <w:rsid w:val="00E75A32"/>
    <w:rsid w:val="00E77850"/>
    <w:rsid w:val="00E80B11"/>
    <w:rsid w:val="00E8104F"/>
    <w:rsid w:val="00E8156E"/>
    <w:rsid w:val="00E81BC2"/>
    <w:rsid w:val="00E8202B"/>
    <w:rsid w:val="00E825B1"/>
    <w:rsid w:val="00E82CB9"/>
    <w:rsid w:val="00E82DA4"/>
    <w:rsid w:val="00E83285"/>
    <w:rsid w:val="00E83DB6"/>
    <w:rsid w:val="00E83DD5"/>
    <w:rsid w:val="00E83F39"/>
    <w:rsid w:val="00E84016"/>
    <w:rsid w:val="00E8540E"/>
    <w:rsid w:val="00E86C61"/>
    <w:rsid w:val="00E87567"/>
    <w:rsid w:val="00E87E04"/>
    <w:rsid w:val="00E90350"/>
    <w:rsid w:val="00E914F3"/>
    <w:rsid w:val="00E91E55"/>
    <w:rsid w:val="00E9384E"/>
    <w:rsid w:val="00E96642"/>
    <w:rsid w:val="00E96842"/>
    <w:rsid w:val="00E97910"/>
    <w:rsid w:val="00E97DA4"/>
    <w:rsid w:val="00EA12BC"/>
    <w:rsid w:val="00EA131D"/>
    <w:rsid w:val="00EA1AD9"/>
    <w:rsid w:val="00EA3A20"/>
    <w:rsid w:val="00EA4EE7"/>
    <w:rsid w:val="00EA676D"/>
    <w:rsid w:val="00EA6CA8"/>
    <w:rsid w:val="00EA73DF"/>
    <w:rsid w:val="00EB1296"/>
    <w:rsid w:val="00EB1577"/>
    <w:rsid w:val="00EB2110"/>
    <w:rsid w:val="00EB31A7"/>
    <w:rsid w:val="00EB3759"/>
    <w:rsid w:val="00EB50DF"/>
    <w:rsid w:val="00EB5178"/>
    <w:rsid w:val="00EB5EC0"/>
    <w:rsid w:val="00EB64CF"/>
    <w:rsid w:val="00EB6780"/>
    <w:rsid w:val="00EB6AEE"/>
    <w:rsid w:val="00EB715F"/>
    <w:rsid w:val="00EB74D2"/>
    <w:rsid w:val="00EB77B9"/>
    <w:rsid w:val="00EC0265"/>
    <w:rsid w:val="00EC04CA"/>
    <w:rsid w:val="00EC07BE"/>
    <w:rsid w:val="00EC1EA5"/>
    <w:rsid w:val="00EC254F"/>
    <w:rsid w:val="00EC29E2"/>
    <w:rsid w:val="00EC2C3C"/>
    <w:rsid w:val="00EC41A8"/>
    <w:rsid w:val="00EC5A6C"/>
    <w:rsid w:val="00ED050B"/>
    <w:rsid w:val="00ED1D16"/>
    <w:rsid w:val="00ED2512"/>
    <w:rsid w:val="00ED3223"/>
    <w:rsid w:val="00ED368E"/>
    <w:rsid w:val="00ED37E3"/>
    <w:rsid w:val="00ED4468"/>
    <w:rsid w:val="00ED49E7"/>
    <w:rsid w:val="00ED5A92"/>
    <w:rsid w:val="00ED70F4"/>
    <w:rsid w:val="00ED7515"/>
    <w:rsid w:val="00ED7C63"/>
    <w:rsid w:val="00EE0939"/>
    <w:rsid w:val="00EE2453"/>
    <w:rsid w:val="00EE2807"/>
    <w:rsid w:val="00EE2B2F"/>
    <w:rsid w:val="00EE2D51"/>
    <w:rsid w:val="00EE303F"/>
    <w:rsid w:val="00EE32F5"/>
    <w:rsid w:val="00EE43D2"/>
    <w:rsid w:val="00EF03A0"/>
    <w:rsid w:val="00EF1142"/>
    <w:rsid w:val="00EF184B"/>
    <w:rsid w:val="00EF1A30"/>
    <w:rsid w:val="00EF2884"/>
    <w:rsid w:val="00EF2B73"/>
    <w:rsid w:val="00EF35F8"/>
    <w:rsid w:val="00EF37BD"/>
    <w:rsid w:val="00EF3E3B"/>
    <w:rsid w:val="00EF4C32"/>
    <w:rsid w:val="00EF5CAD"/>
    <w:rsid w:val="00EF6327"/>
    <w:rsid w:val="00EF6D43"/>
    <w:rsid w:val="00EF6EDA"/>
    <w:rsid w:val="00EF73B8"/>
    <w:rsid w:val="00EF7E15"/>
    <w:rsid w:val="00F00C8F"/>
    <w:rsid w:val="00F00FE2"/>
    <w:rsid w:val="00F01A11"/>
    <w:rsid w:val="00F0284D"/>
    <w:rsid w:val="00F02C29"/>
    <w:rsid w:val="00F05061"/>
    <w:rsid w:val="00F05081"/>
    <w:rsid w:val="00F07B2A"/>
    <w:rsid w:val="00F11E74"/>
    <w:rsid w:val="00F12885"/>
    <w:rsid w:val="00F132E3"/>
    <w:rsid w:val="00F16AD5"/>
    <w:rsid w:val="00F17124"/>
    <w:rsid w:val="00F17B8A"/>
    <w:rsid w:val="00F2022F"/>
    <w:rsid w:val="00F21968"/>
    <w:rsid w:val="00F22741"/>
    <w:rsid w:val="00F22F09"/>
    <w:rsid w:val="00F22F37"/>
    <w:rsid w:val="00F240D7"/>
    <w:rsid w:val="00F24510"/>
    <w:rsid w:val="00F24CAE"/>
    <w:rsid w:val="00F25DA0"/>
    <w:rsid w:val="00F2653F"/>
    <w:rsid w:val="00F268E5"/>
    <w:rsid w:val="00F27348"/>
    <w:rsid w:val="00F31183"/>
    <w:rsid w:val="00F31C0A"/>
    <w:rsid w:val="00F32252"/>
    <w:rsid w:val="00F32A46"/>
    <w:rsid w:val="00F33D13"/>
    <w:rsid w:val="00F3684A"/>
    <w:rsid w:val="00F36AF6"/>
    <w:rsid w:val="00F371FE"/>
    <w:rsid w:val="00F3731E"/>
    <w:rsid w:val="00F37EB7"/>
    <w:rsid w:val="00F408FA"/>
    <w:rsid w:val="00F41234"/>
    <w:rsid w:val="00F41591"/>
    <w:rsid w:val="00F41804"/>
    <w:rsid w:val="00F41A30"/>
    <w:rsid w:val="00F46117"/>
    <w:rsid w:val="00F461CF"/>
    <w:rsid w:val="00F4757E"/>
    <w:rsid w:val="00F50DA1"/>
    <w:rsid w:val="00F51EEF"/>
    <w:rsid w:val="00F52019"/>
    <w:rsid w:val="00F5313F"/>
    <w:rsid w:val="00F54387"/>
    <w:rsid w:val="00F560D9"/>
    <w:rsid w:val="00F57424"/>
    <w:rsid w:val="00F57DC7"/>
    <w:rsid w:val="00F6140D"/>
    <w:rsid w:val="00F61D4B"/>
    <w:rsid w:val="00F62174"/>
    <w:rsid w:val="00F628E4"/>
    <w:rsid w:val="00F63042"/>
    <w:rsid w:val="00F638DD"/>
    <w:rsid w:val="00F64CB6"/>
    <w:rsid w:val="00F664AF"/>
    <w:rsid w:val="00F66715"/>
    <w:rsid w:val="00F668BA"/>
    <w:rsid w:val="00F67205"/>
    <w:rsid w:val="00F674E5"/>
    <w:rsid w:val="00F67F45"/>
    <w:rsid w:val="00F700FF"/>
    <w:rsid w:val="00F706BB"/>
    <w:rsid w:val="00F70ADD"/>
    <w:rsid w:val="00F711F4"/>
    <w:rsid w:val="00F75048"/>
    <w:rsid w:val="00F753E3"/>
    <w:rsid w:val="00F756EA"/>
    <w:rsid w:val="00F75EBE"/>
    <w:rsid w:val="00F76C0F"/>
    <w:rsid w:val="00F77458"/>
    <w:rsid w:val="00F7786D"/>
    <w:rsid w:val="00F81443"/>
    <w:rsid w:val="00F82925"/>
    <w:rsid w:val="00F83194"/>
    <w:rsid w:val="00F839C7"/>
    <w:rsid w:val="00F839D0"/>
    <w:rsid w:val="00F83CFA"/>
    <w:rsid w:val="00F8423D"/>
    <w:rsid w:val="00F8439F"/>
    <w:rsid w:val="00F86096"/>
    <w:rsid w:val="00F900F4"/>
    <w:rsid w:val="00F90575"/>
    <w:rsid w:val="00F92036"/>
    <w:rsid w:val="00F9272E"/>
    <w:rsid w:val="00F93D06"/>
    <w:rsid w:val="00F951A0"/>
    <w:rsid w:val="00F95952"/>
    <w:rsid w:val="00F9693D"/>
    <w:rsid w:val="00F975CE"/>
    <w:rsid w:val="00F97EE7"/>
    <w:rsid w:val="00FA015E"/>
    <w:rsid w:val="00FA08BD"/>
    <w:rsid w:val="00FA155E"/>
    <w:rsid w:val="00FA19AC"/>
    <w:rsid w:val="00FA1DEA"/>
    <w:rsid w:val="00FA20E9"/>
    <w:rsid w:val="00FA3C86"/>
    <w:rsid w:val="00FA476A"/>
    <w:rsid w:val="00FA4813"/>
    <w:rsid w:val="00FA5FEB"/>
    <w:rsid w:val="00FB052C"/>
    <w:rsid w:val="00FB0A84"/>
    <w:rsid w:val="00FB15A4"/>
    <w:rsid w:val="00FB48E7"/>
    <w:rsid w:val="00FB4DA2"/>
    <w:rsid w:val="00FB58BD"/>
    <w:rsid w:val="00FB7A9F"/>
    <w:rsid w:val="00FC05AF"/>
    <w:rsid w:val="00FC2303"/>
    <w:rsid w:val="00FC2465"/>
    <w:rsid w:val="00FC25BC"/>
    <w:rsid w:val="00FC3FA0"/>
    <w:rsid w:val="00FC4B3C"/>
    <w:rsid w:val="00FC4F94"/>
    <w:rsid w:val="00FC580D"/>
    <w:rsid w:val="00FC5AC0"/>
    <w:rsid w:val="00FC61B8"/>
    <w:rsid w:val="00FC7487"/>
    <w:rsid w:val="00FC7B3E"/>
    <w:rsid w:val="00FD016F"/>
    <w:rsid w:val="00FD078D"/>
    <w:rsid w:val="00FD0CC0"/>
    <w:rsid w:val="00FD0DE7"/>
    <w:rsid w:val="00FD1786"/>
    <w:rsid w:val="00FD54CF"/>
    <w:rsid w:val="00FD6511"/>
    <w:rsid w:val="00FD6675"/>
    <w:rsid w:val="00FD66EF"/>
    <w:rsid w:val="00FD6B8A"/>
    <w:rsid w:val="00FD7096"/>
    <w:rsid w:val="00FD7A29"/>
    <w:rsid w:val="00FD7C82"/>
    <w:rsid w:val="00FD7DB9"/>
    <w:rsid w:val="00FE1123"/>
    <w:rsid w:val="00FE1648"/>
    <w:rsid w:val="00FE18F3"/>
    <w:rsid w:val="00FE2199"/>
    <w:rsid w:val="00FE2C84"/>
    <w:rsid w:val="00FE399F"/>
    <w:rsid w:val="00FE46BD"/>
    <w:rsid w:val="00FE5120"/>
    <w:rsid w:val="00FE5123"/>
    <w:rsid w:val="00FE63B9"/>
    <w:rsid w:val="00FF1084"/>
    <w:rsid w:val="00FF2ACE"/>
    <w:rsid w:val="00FF418D"/>
    <w:rsid w:val="00FF4D16"/>
    <w:rsid w:val="00FF503D"/>
    <w:rsid w:val="00FF5295"/>
    <w:rsid w:val="00FF560E"/>
    <w:rsid w:val="00FF7AF5"/>
    <w:rsid w:val="00FF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8BA9157"/>
  <w15:docId w15:val="{D28B9AB4-20FB-4511-BAE0-5AADE3AB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03"/>
    <w:rPr>
      <w:sz w:val="24"/>
      <w:szCs w:val="24"/>
      <w:lang w:val="en-GB" w:eastAsia="en-US"/>
    </w:rPr>
  </w:style>
  <w:style w:type="paragraph" w:styleId="Heading1">
    <w:name w:val="heading 1"/>
    <w:basedOn w:val="Normal"/>
    <w:next w:val="Normal"/>
    <w:link w:val="Heading1Char"/>
    <w:uiPriority w:val="99"/>
    <w:qFormat/>
    <w:rsid w:val="00367406"/>
    <w:pPr>
      <w:tabs>
        <w:tab w:val="left" w:pos="-720"/>
      </w:tabs>
      <w:spacing w:before="240" w:line="360" w:lineRule="atLeast"/>
      <w:jc w:val="both"/>
      <w:outlineLvl w:val="0"/>
    </w:pPr>
    <w:rPr>
      <w:rFonts w:ascii="Arial" w:hAnsi="Arial" w:cs="Arial"/>
      <w:b/>
      <w:bCs/>
      <w:u w:val="single"/>
      <w:lang w:eastAsia="fr-FR"/>
    </w:rPr>
  </w:style>
  <w:style w:type="paragraph" w:styleId="Heading2">
    <w:name w:val="heading 2"/>
    <w:basedOn w:val="Normal"/>
    <w:next w:val="Normal"/>
    <w:link w:val="Heading2Char"/>
    <w:uiPriority w:val="99"/>
    <w:qFormat/>
    <w:rsid w:val="00367406"/>
    <w:pPr>
      <w:tabs>
        <w:tab w:val="left" w:pos="-720"/>
      </w:tabs>
      <w:spacing w:before="120" w:line="360" w:lineRule="atLeast"/>
      <w:jc w:val="both"/>
      <w:outlineLvl w:val="1"/>
    </w:pPr>
    <w:rPr>
      <w:rFonts w:ascii="Arial" w:hAnsi="Arial" w:cs="Arial"/>
      <w:b/>
      <w:bCs/>
      <w:lang w:eastAsia="fr-FR"/>
    </w:rPr>
  </w:style>
  <w:style w:type="paragraph" w:styleId="Heading3">
    <w:name w:val="heading 3"/>
    <w:basedOn w:val="Normal"/>
    <w:next w:val="Normal"/>
    <w:link w:val="Heading3Char"/>
    <w:uiPriority w:val="99"/>
    <w:qFormat/>
    <w:rsid w:val="00367406"/>
    <w:pPr>
      <w:tabs>
        <w:tab w:val="left" w:pos="-720"/>
      </w:tabs>
      <w:spacing w:line="360" w:lineRule="atLeast"/>
      <w:ind w:left="360"/>
      <w:jc w:val="both"/>
      <w:outlineLvl w:val="2"/>
    </w:pPr>
    <w:rPr>
      <w:b/>
      <w:bCs/>
      <w:lang w:eastAsia="fr-FR"/>
    </w:rPr>
  </w:style>
  <w:style w:type="paragraph" w:styleId="Heading4">
    <w:name w:val="heading 4"/>
    <w:basedOn w:val="Normal"/>
    <w:next w:val="Normal"/>
    <w:link w:val="Heading4Char"/>
    <w:uiPriority w:val="99"/>
    <w:qFormat/>
    <w:rsid w:val="00367406"/>
    <w:pPr>
      <w:tabs>
        <w:tab w:val="left" w:pos="-720"/>
      </w:tabs>
      <w:spacing w:line="360" w:lineRule="atLeast"/>
      <w:ind w:left="360"/>
      <w:jc w:val="both"/>
      <w:outlineLvl w:val="3"/>
    </w:pPr>
    <w:rPr>
      <w:u w:val="single"/>
      <w:lang w:eastAsia="fr-FR"/>
    </w:rPr>
  </w:style>
  <w:style w:type="paragraph" w:styleId="Heading5">
    <w:name w:val="heading 5"/>
    <w:basedOn w:val="Normal"/>
    <w:next w:val="Normal"/>
    <w:link w:val="Heading5Char"/>
    <w:uiPriority w:val="99"/>
    <w:qFormat/>
    <w:rsid w:val="00367406"/>
    <w:pPr>
      <w:tabs>
        <w:tab w:val="left" w:pos="-720"/>
      </w:tabs>
      <w:spacing w:line="360" w:lineRule="atLeast"/>
      <w:ind w:left="720"/>
      <w:jc w:val="both"/>
      <w:outlineLvl w:val="4"/>
    </w:pPr>
    <w:rPr>
      <w:b/>
      <w:bCs/>
      <w:sz w:val="20"/>
      <w:szCs w:val="20"/>
      <w:lang w:eastAsia="fr-FR"/>
    </w:rPr>
  </w:style>
  <w:style w:type="paragraph" w:styleId="Heading6">
    <w:name w:val="heading 6"/>
    <w:basedOn w:val="Normal"/>
    <w:next w:val="Normal"/>
    <w:link w:val="Heading6Char"/>
    <w:uiPriority w:val="99"/>
    <w:qFormat/>
    <w:rsid w:val="00367406"/>
    <w:pPr>
      <w:tabs>
        <w:tab w:val="left" w:pos="-720"/>
      </w:tabs>
      <w:spacing w:line="360" w:lineRule="atLeast"/>
      <w:ind w:left="720"/>
      <w:jc w:val="both"/>
      <w:outlineLvl w:val="5"/>
    </w:pPr>
    <w:rPr>
      <w:sz w:val="20"/>
      <w:szCs w:val="20"/>
      <w:u w:val="single"/>
      <w:lang w:eastAsia="fr-FR"/>
    </w:rPr>
  </w:style>
  <w:style w:type="paragraph" w:styleId="Heading7">
    <w:name w:val="heading 7"/>
    <w:basedOn w:val="Normal"/>
    <w:next w:val="Normal"/>
    <w:link w:val="Heading7Char"/>
    <w:uiPriority w:val="99"/>
    <w:qFormat/>
    <w:rsid w:val="00367406"/>
    <w:pPr>
      <w:tabs>
        <w:tab w:val="left" w:pos="-720"/>
      </w:tabs>
      <w:spacing w:line="360" w:lineRule="atLeast"/>
      <w:ind w:left="720"/>
      <w:jc w:val="both"/>
      <w:outlineLvl w:val="6"/>
    </w:pPr>
    <w:rPr>
      <w:i/>
      <w:iCs/>
      <w:sz w:val="20"/>
      <w:szCs w:val="20"/>
      <w:lang w:eastAsia="fr-FR"/>
    </w:rPr>
  </w:style>
  <w:style w:type="paragraph" w:styleId="Heading8">
    <w:name w:val="heading 8"/>
    <w:basedOn w:val="Normal"/>
    <w:next w:val="Normal"/>
    <w:link w:val="Heading8Char"/>
    <w:uiPriority w:val="99"/>
    <w:qFormat/>
    <w:rsid w:val="00367406"/>
    <w:pPr>
      <w:tabs>
        <w:tab w:val="left" w:pos="-720"/>
      </w:tabs>
      <w:spacing w:line="360" w:lineRule="atLeast"/>
      <w:ind w:left="720"/>
      <w:jc w:val="both"/>
      <w:outlineLvl w:val="7"/>
    </w:pPr>
    <w:rPr>
      <w:i/>
      <w:iCs/>
      <w:sz w:val="20"/>
      <w:szCs w:val="20"/>
      <w:lang w:eastAsia="fr-FR"/>
    </w:rPr>
  </w:style>
  <w:style w:type="paragraph" w:styleId="Heading9">
    <w:name w:val="heading 9"/>
    <w:basedOn w:val="Normal"/>
    <w:next w:val="Normal"/>
    <w:link w:val="Heading9Char"/>
    <w:uiPriority w:val="99"/>
    <w:qFormat/>
    <w:rsid w:val="00367406"/>
    <w:pPr>
      <w:tabs>
        <w:tab w:val="left" w:pos="-720"/>
      </w:tabs>
      <w:spacing w:line="360" w:lineRule="atLeast"/>
      <w:ind w:left="720"/>
      <w:jc w:val="both"/>
      <w:outlineLvl w:val="8"/>
    </w:pPr>
    <w:rPr>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en-GB" w:eastAsia="fr-FR"/>
    </w:rPr>
  </w:style>
  <w:style w:type="character" w:customStyle="1" w:styleId="Heading2Char">
    <w:name w:val="Heading 2 Char"/>
    <w:link w:val="Heading2"/>
    <w:uiPriority w:val="99"/>
    <w:semiHidden/>
    <w:locked/>
    <w:rPr>
      <w:rFonts w:ascii="Cambria" w:hAnsi="Cambria" w:cs="Cambria"/>
      <w:b/>
      <w:bCs/>
      <w:i/>
      <w:iCs/>
      <w:sz w:val="28"/>
      <w:szCs w:val="28"/>
      <w:lang w:val="en-GB" w:eastAsia="fr-FR"/>
    </w:rPr>
  </w:style>
  <w:style w:type="character" w:customStyle="1" w:styleId="Heading3Char">
    <w:name w:val="Heading 3 Char"/>
    <w:link w:val="Heading3"/>
    <w:uiPriority w:val="99"/>
    <w:semiHidden/>
    <w:locked/>
    <w:rPr>
      <w:rFonts w:ascii="Cambria" w:hAnsi="Cambria" w:cs="Cambria"/>
      <w:b/>
      <w:bCs/>
      <w:sz w:val="26"/>
      <w:szCs w:val="26"/>
      <w:lang w:val="en-GB" w:eastAsia="fr-FR"/>
    </w:rPr>
  </w:style>
  <w:style w:type="character" w:customStyle="1" w:styleId="Heading4Char">
    <w:name w:val="Heading 4 Char"/>
    <w:link w:val="Heading4"/>
    <w:uiPriority w:val="99"/>
    <w:semiHidden/>
    <w:locked/>
    <w:rPr>
      <w:rFonts w:ascii="Calibri" w:hAnsi="Calibri" w:cs="Calibri"/>
      <w:b/>
      <w:bCs/>
      <w:sz w:val="28"/>
      <w:szCs w:val="28"/>
      <w:lang w:val="en-GB" w:eastAsia="fr-FR"/>
    </w:rPr>
  </w:style>
  <w:style w:type="character" w:customStyle="1" w:styleId="Heading5Char">
    <w:name w:val="Heading 5 Char"/>
    <w:link w:val="Heading5"/>
    <w:uiPriority w:val="99"/>
    <w:semiHidden/>
    <w:locked/>
    <w:rPr>
      <w:rFonts w:ascii="Calibri" w:hAnsi="Calibri" w:cs="Calibri"/>
      <w:b/>
      <w:bCs/>
      <w:i/>
      <w:iCs/>
      <w:sz w:val="26"/>
      <w:szCs w:val="26"/>
      <w:lang w:val="en-GB" w:eastAsia="fr-FR"/>
    </w:rPr>
  </w:style>
  <w:style w:type="character" w:customStyle="1" w:styleId="Heading6Char">
    <w:name w:val="Heading 6 Char"/>
    <w:link w:val="Heading6"/>
    <w:uiPriority w:val="99"/>
    <w:semiHidden/>
    <w:locked/>
    <w:rPr>
      <w:rFonts w:ascii="Calibri" w:hAnsi="Calibri" w:cs="Calibri"/>
      <w:b/>
      <w:bCs/>
      <w:lang w:val="en-GB" w:eastAsia="fr-FR"/>
    </w:rPr>
  </w:style>
  <w:style w:type="character" w:customStyle="1" w:styleId="Heading7Char">
    <w:name w:val="Heading 7 Char"/>
    <w:link w:val="Heading7"/>
    <w:uiPriority w:val="99"/>
    <w:semiHidden/>
    <w:locked/>
    <w:rPr>
      <w:rFonts w:ascii="Calibri" w:hAnsi="Calibri" w:cs="Calibri"/>
      <w:sz w:val="24"/>
      <w:szCs w:val="24"/>
      <w:lang w:val="en-GB" w:eastAsia="fr-FR"/>
    </w:rPr>
  </w:style>
  <w:style w:type="character" w:customStyle="1" w:styleId="Heading8Char">
    <w:name w:val="Heading 8 Char"/>
    <w:link w:val="Heading8"/>
    <w:uiPriority w:val="99"/>
    <w:semiHidden/>
    <w:locked/>
    <w:rPr>
      <w:rFonts w:ascii="Calibri" w:hAnsi="Calibri" w:cs="Calibri"/>
      <w:i/>
      <w:iCs/>
      <w:sz w:val="24"/>
      <w:szCs w:val="24"/>
      <w:lang w:val="en-GB" w:eastAsia="fr-FR"/>
    </w:rPr>
  </w:style>
  <w:style w:type="character" w:customStyle="1" w:styleId="Heading9Char">
    <w:name w:val="Heading 9 Char"/>
    <w:link w:val="Heading9"/>
    <w:uiPriority w:val="99"/>
    <w:semiHidden/>
    <w:locked/>
    <w:rPr>
      <w:rFonts w:ascii="Cambria" w:hAnsi="Cambria" w:cs="Cambria"/>
      <w:lang w:val="en-GB" w:eastAsia="fr-FR"/>
    </w:rPr>
  </w:style>
  <w:style w:type="character" w:styleId="LineNumber">
    <w:name w:val="line number"/>
    <w:uiPriority w:val="99"/>
    <w:rsid w:val="00846462"/>
    <w:rPr>
      <w:rFonts w:ascii="Arial" w:hAnsi="Arial" w:cs="Arial"/>
      <w:sz w:val="16"/>
      <w:szCs w:val="16"/>
    </w:rPr>
  </w:style>
  <w:style w:type="paragraph" w:styleId="Header">
    <w:name w:val="header"/>
    <w:basedOn w:val="Normal"/>
    <w:link w:val="HeaderChar"/>
    <w:uiPriority w:val="99"/>
    <w:rsid w:val="00367406"/>
    <w:pPr>
      <w:tabs>
        <w:tab w:val="center" w:pos="4536"/>
        <w:tab w:val="right" w:pos="9072"/>
      </w:tabs>
      <w:spacing w:line="360" w:lineRule="atLeast"/>
      <w:jc w:val="both"/>
    </w:pPr>
    <w:rPr>
      <w:sz w:val="20"/>
      <w:szCs w:val="20"/>
      <w:lang w:eastAsia="fr-FR"/>
    </w:rPr>
  </w:style>
  <w:style w:type="character" w:customStyle="1" w:styleId="HeaderChar">
    <w:name w:val="Header Char"/>
    <w:link w:val="Header"/>
    <w:uiPriority w:val="99"/>
    <w:semiHidden/>
    <w:locked/>
    <w:rPr>
      <w:sz w:val="20"/>
      <w:szCs w:val="20"/>
      <w:lang w:val="en-GB" w:eastAsia="fr-FR"/>
    </w:rPr>
  </w:style>
  <w:style w:type="paragraph" w:customStyle="1" w:styleId="notedebas">
    <w:name w:val="note de bas"/>
    <w:basedOn w:val="Normal"/>
    <w:uiPriority w:val="99"/>
    <w:rsid w:val="00242A97"/>
    <w:pPr>
      <w:widowControl w:val="0"/>
      <w:tabs>
        <w:tab w:val="left" w:pos="-720"/>
      </w:tabs>
      <w:ind w:left="425" w:hanging="425"/>
      <w:jc w:val="both"/>
    </w:pPr>
    <w:rPr>
      <w:rFonts w:ascii="Arial" w:hAnsi="Arial" w:cs="Arial"/>
      <w:sz w:val="16"/>
      <w:szCs w:val="16"/>
      <w:lang w:val="en-US" w:eastAsia="fr-FR"/>
    </w:rPr>
  </w:style>
  <w:style w:type="paragraph" w:customStyle="1" w:styleId="a">
    <w:name w:val="a)"/>
    <w:basedOn w:val="Normal"/>
    <w:uiPriority w:val="99"/>
    <w:rsid w:val="00367406"/>
    <w:pPr>
      <w:spacing w:after="120"/>
      <w:ind w:left="425" w:hanging="425"/>
      <w:jc w:val="both"/>
    </w:pPr>
    <w:rPr>
      <w:rFonts w:ascii="Ottawa" w:hAnsi="Ottawa" w:cs="Ottawa"/>
      <w:b/>
      <w:bCs/>
      <w:sz w:val="20"/>
      <w:szCs w:val="20"/>
      <w:lang w:eastAsia="fr-FR"/>
    </w:rPr>
  </w:style>
  <w:style w:type="paragraph" w:customStyle="1" w:styleId="paraa">
    <w:name w:val="paraa)"/>
    <w:basedOn w:val="Normal"/>
    <w:uiPriority w:val="99"/>
    <w:rsid w:val="00367406"/>
    <w:pPr>
      <w:tabs>
        <w:tab w:val="left" w:pos="-720"/>
      </w:tabs>
      <w:spacing w:after="240"/>
      <w:ind w:left="425"/>
      <w:jc w:val="both"/>
    </w:pPr>
    <w:rPr>
      <w:rFonts w:ascii="Arial" w:hAnsi="Arial" w:cs="Arial"/>
      <w:sz w:val="18"/>
      <w:szCs w:val="18"/>
      <w:lang w:eastAsia="fr-FR"/>
    </w:rPr>
  </w:style>
  <w:style w:type="paragraph" w:customStyle="1" w:styleId="1">
    <w:name w:val="1"/>
    <w:basedOn w:val="para1"/>
    <w:uiPriority w:val="99"/>
    <w:rsid w:val="00367406"/>
    <w:pPr>
      <w:tabs>
        <w:tab w:val="clear" w:pos="-720"/>
      </w:tabs>
      <w:ind w:left="426" w:hanging="426"/>
    </w:pPr>
    <w:rPr>
      <w:rFonts w:ascii="Ottawa" w:hAnsi="Ottawa" w:cs="Ottawa"/>
      <w:b/>
      <w:bCs/>
      <w:sz w:val="22"/>
      <w:szCs w:val="22"/>
    </w:rPr>
  </w:style>
  <w:style w:type="paragraph" w:customStyle="1" w:styleId="para1">
    <w:name w:val="para1"/>
    <w:basedOn w:val="Normal"/>
    <w:uiPriority w:val="99"/>
    <w:rsid w:val="00367406"/>
    <w:pPr>
      <w:tabs>
        <w:tab w:val="left" w:pos="-720"/>
      </w:tabs>
      <w:spacing w:after="240"/>
      <w:jc w:val="both"/>
    </w:pPr>
    <w:rPr>
      <w:rFonts w:ascii="Arial" w:hAnsi="Arial" w:cs="Arial"/>
      <w:sz w:val="18"/>
      <w:szCs w:val="18"/>
      <w:lang w:eastAsia="fr-FR"/>
    </w:rPr>
  </w:style>
  <w:style w:type="paragraph" w:customStyle="1" w:styleId="i">
    <w:name w:val="i)"/>
    <w:basedOn w:val="Normal"/>
    <w:qFormat/>
    <w:rsid w:val="00136F9F"/>
    <w:pPr>
      <w:tabs>
        <w:tab w:val="left" w:pos="-720"/>
      </w:tabs>
      <w:spacing w:after="120"/>
      <w:ind w:left="1843" w:hanging="425"/>
      <w:jc w:val="both"/>
    </w:pPr>
    <w:rPr>
      <w:rFonts w:ascii="Arial" w:hAnsi="Arial" w:cs="Arial"/>
      <w:sz w:val="18"/>
      <w:szCs w:val="18"/>
      <w:lang w:eastAsia="fr-FR"/>
    </w:rPr>
  </w:style>
  <w:style w:type="paragraph" w:customStyle="1" w:styleId="A0">
    <w:name w:val="A"/>
    <w:basedOn w:val="Normal"/>
    <w:rsid w:val="00230BE2"/>
    <w:pPr>
      <w:tabs>
        <w:tab w:val="left" w:pos="-720"/>
      </w:tabs>
      <w:spacing w:after="240"/>
      <w:jc w:val="center"/>
    </w:pPr>
    <w:rPr>
      <w:rFonts w:ascii="Ottawa" w:hAnsi="Ottawa" w:cs="Ottawa"/>
      <w:b/>
      <w:bCs/>
      <w:caps/>
      <w:lang w:eastAsia="fr-FR"/>
    </w:rPr>
  </w:style>
  <w:style w:type="paragraph" w:customStyle="1" w:styleId="Ref">
    <w:name w:val="Ref."/>
    <w:basedOn w:val="Normal"/>
    <w:uiPriority w:val="99"/>
    <w:rsid w:val="00367406"/>
    <w:pPr>
      <w:tabs>
        <w:tab w:val="left" w:pos="-720"/>
      </w:tabs>
      <w:spacing w:after="240"/>
      <w:ind w:left="426" w:hanging="426"/>
      <w:jc w:val="both"/>
    </w:pPr>
    <w:rPr>
      <w:rFonts w:ascii="Arial" w:hAnsi="Arial" w:cs="Arial"/>
      <w:sz w:val="18"/>
      <w:szCs w:val="18"/>
      <w:lang w:eastAsia="fr-FR"/>
    </w:rPr>
  </w:style>
  <w:style w:type="paragraph" w:customStyle="1" w:styleId="sumtexte">
    <w:name w:val="sumtexte"/>
    <w:basedOn w:val="Normal"/>
    <w:uiPriority w:val="99"/>
    <w:rsid w:val="00367406"/>
    <w:pPr>
      <w:tabs>
        <w:tab w:val="left" w:pos="-720"/>
      </w:tabs>
      <w:spacing w:after="120" w:line="240" w:lineRule="exact"/>
      <w:ind w:left="567" w:right="567"/>
      <w:jc w:val="both"/>
    </w:pPr>
    <w:rPr>
      <w:rFonts w:ascii="Arial" w:hAnsi="Arial" w:cs="Arial"/>
      <w:i/>
      <w:iCs/>
      <w:sz w:val="18"/>
      <w:szCs w:val="18"/>
      <w:lang w:eastAsia="fr-FR"/>
    </w:rPr>
  </w:style>
  <w:style w:type="paragraph" w:customStyle="1" w:styleId="paraA0">
    <w:name w:val="paraA"/>
    <w:basedOn w:val="Normal"/>
    <w:link w:val="paraACar"/>
    <w:uiPriority w:val="99"/>
    <w:rsid w:val="00367406"/>
    <w:pPr>
      <w:tabs>
        <w:tab w:val="left" w:pos="-720"/>
      </w:tabs>
      <w:spacing w:after="240"/>
      <w:jc w:val="both"/>
    </w:pPr>
    <w:rPr>
      <w:rFonts w:ascii="Arial" w:hAnsi="Arial" w:cs="Arial"/>
      <w:sz w:val="18"/>
      <w:szCs w:val="18"/>
      <w:lang w:val="en-US" w:eastAsia="fr-FR"/>
    </w:rPr>
  </w:style>
  <w:style w:type="paragraph" w:customStyle="1" w:styleId="TITRE">
    <w:name w:val="TITRE"/>
    <w:basedOn w:val="Normal"/>
    <w:uiPriority w:val="99"/>
    <w:rsid w:val="00367406"/>
    <w:pPr>
      <w:tabs>
        <w:tab w:val="left" w:pos="-720"/>
      </w:tabs>
      <w:spacing w:after="240" w:line="360" w:lineRule="atLeast"/>
      <w:jc w:val="center"/>
    </w:pPr>
    <w:rPr>
      <w:b/>
      <w:bCs/>
      <w:caps/>
      <w:sz w:val="20"/>
      <w:szCs w:val="20"/>
      <w:lang w:eastAsia="fr-FR"/>
    </w:rPr>
  </w:style>
  <w:style w:type="paragraph" w:styleId="Footer">
    <w:name w:val="footer"/>
    <w:basedOn w:val="Normal"/>
    <w:link w:val="FooterChar"/>
    <w:uiPriority w:val="99"/>
    <w:rsid w:val="00367406"/>
    <w:pPr>
      <w:tabs>
        <w:tab w:val="center" w:pos="4536"/>
        <w:tab w:val="right" w:pos="9072"/>
      </w:tabs>
      <w:spacing w:line="360" w:lineRule="atLeast"/>
      <w:jc w:val="both"/>
    </w:pPr>
    <w:rPr>
      <w:sz w:val="20"/>
      <w:szCs w:val="20"/>
      <w:lang w:eastAsia="fr-FR"/>
    </w:rPr>
  </w:style>
  <w:style w:type="character" w:customStyle="1" w:styleId="FooterChar">
    <w:name w:val="Footer Char"/>
    <w:link w:val="Footer"/>
    <w:uiPriority w:val="99"/>
    <w:semiHidden/>
    <w:locked/>
    <w:rPr>
      <w:sz w:val="20"/>
      <w:szCs w:val="20"/>
      <w:lang w:val="en-GB" w:eastAsia="fr-FR"/>
    </w:rPr>
  </w:style>
  <w:style w:type="paragraph" w:styleId="FootnoteText">
    <w:name w:val="footnote text"/>
    <w:basedOn w:val="Normal"/>
    <w:link w:val="FootnoteTextChar"/>
    <w:rsid w:val="00367406"/>
    <w:pPr>
      <w:tabs>
        <w:tab w:val="left" w:pos="-720"/>
      </w:tabs>
      <w:spacing w:line="360" w:lineRule="atLeast"/>
      <w:jc w:val="both"/>
    </w:pPr>
    <w:rPr>
      <w:sz w:val="20"/>
      <w:szCs w:val="20"/>
      <w:lang w:eastAsia="fr-FR"/>
    </w:rPr>
  </w:style>
  <w:style w:type="character" w:customStyle="1" w:styleId="FootnoteTextChar">
    <w:name w:val="Footnote Text Char"/>
    <w:link w:val="FootnoteText"/>
    <w:locked/>
    <w:rsid w:val="00846462"/>
    <w:rPr>
      <w:lang w:eastAsia="fr-FR"/>
    </w:rPr>
  </w:style>
  <w:style w:type="character" w:styleId="FootnoteReference">
    <w:name w:val="footnote reference"/>
    <w:rsid w:val="00367406"/>
    <w:rPr>
      <w:vertAlign w:val="superscript"/>
    </w:rPr>
  </w:style>
  <w:style w:type="paragraph" w:customStyle="1" w:styleId="sumtextelastpara">
    <w:name w:val="sumtexte last para"/>
    <w:basedOn w:val="sumtexte"/>
    <w:uiPriority w:val="99"/>
    <w:rsid w:val="00242A97"/>
    <w:pPr>
      <w:spacing w:after="480"/>
    </w:pPr>
  </w:style>
  <w:style w:type="paragraph" w:customStyle="1" w:styleId="b">
    <w:name w:val="b)"/>
    <w:basedOn w:val="Normal"/>
    <w:uiPriority w:val="99"/>
    <w:rsid w:val="00242A97"/>
    <w:pPr>
      <w:tabs>
        <w:tab w:val="left" w:pos="-720"/>
      </w:tabs>
      <w:spacing w:after="120"/>
      <w:ind w:left="850" w:hanging="425"/>
      <w:jc w:val="both"/>
    </w:pPr>
    <w:rPr>
      <w:rFonts w:ascii="Ottawa" w:hAnsi="Ottawa" w:cs="Ottawa"/>
      <w:b/>
      <w:bCs/>
      <w:sz w:val="18"/>
      <w:szCs w:val="18"/>
      <w:lang w:eastAsia="fr-FR"/>
    </w:rPr>
  </w:style>
  <w:style w:type="paragraph" w:customStyle="1" w:styleId="ipara">
    <w:name w:val="i_para"/>
    <w:basedOn w:val="i"/>
    <w:uiPriority w:val="99"/>
    <w:rsid w:val="00242A97"/>
    <w:pPr>
      <w:spacing w:line="200" w:lineRule="exact"/>
      <w:ind w:left="851" w:firstLine="0"/>
    </w:pPr>
  </w:style>
  <w:style w:type="paragraph" w:customStyle="1" w:styleId="iparalast">
    <w:name w:val="i_para_last"/>
    <w:basedOn w:val="i"/>
    <w:uiPriority w:val="99"/>
    <w:rsid w:val="00242A97"/>
    <w:pPr>
      <w:spacing w:after="240" w:line="200" w:lineRule="exact"/>
    </w:pPr>
  </w:style>
  <w:style w:type="paragraph" w:customStyle="1" w:styleId="Referencetitle">
    <w:name w:val="Reference_title"/>
    <w:basedOn w:val="Normal"/>
    <w:uiPriority w:val="99"/>
    <w:rsid w:val="005F0A04"/>
    <w:pPr>
      <w:widowControl w:val="0"/>
      <w:tabs>
        <w:tab w:val="left" w:pos="-720"/>
        <w:tab w:val="left" w:pos="2410"/>
      </w:tabs>
      <w:spacing w:after="240"/>
      <w:jc w:val="center"/>
    </w:pPr>
    <w:rPr>
      <w:rFonts w:ascii="Ottawa" w:hAnsi="Ottawa" w:cs="Ottawa"/>
      <w:b/>
      <w:bCs/>
      <w:sz w:val="22"/>
      <w:szCs w:val="22"/>
      <w:lang w:eastAsia="fr-FR"/>
    </w:rPr>
  </w:style>
  <w:style w:type="paragraph" w:customStyle="1" w:styleId="Chatperno">
    <w:name w:val="Chatper_no"/>
    <w:basedOn w:val="Normal"/>
    <w:uiPriority w:val="99"/>
    <w:rsid w:val="00B15A97"/>
    <w:pPr>
      <w:tabs>
        <w:tab w:val="left" w:pos="-720"/>
      </w:tabs>
      <w:spacing w:after="240"/>
      <w:jc w:val="center"/>
    </w:pPr>
    <w:rPr>
      <w:rFonts w:ascii="Ottawa" w:hAnsi="Ottawa" w:cs="Ottawa"/>
      <w:caps/>
      <w:spacing w:val="60"/>
      <w:lang w:eastAsia="fr-FR"/>
    </w:rPr>
  </w:style>
  <w:style w:type="paragraph" w:customStyle="1" w:styleId="Chaptertitle">
    <w:name w:val="Chapter_title"/>
    <w:basedOn w:val="Normal"/>
    <w:uiPriority w:val="99"/>
    <w:rsid w:val="00EA1AD9"/>
    <w:pPr>
      <w:pBdr>
        <w:bottom w:val="single" w:sz="6" w:space="10" w:color="auto"/>
      </w:pBdr>
      <w:tabs>
        <w:tab w:val="left" w:pos="-720"/>
      </w:tabs>
      <w:jc w:val="center"/>
    </w:pPr>
    <w:rPr>
      <w:rFonts w:ascii="Ottawa" w:hAnsi="Ottawa" w:cs="Ottawa"/>
      <w:b/>
      <w:bCs/>
      <w:caps/>
      <w:spacing w:val="40"/>
      <w:sz w:val="32"/>
      <w:szCs w:val="32"/>
      <w:lang w:eastAsia="fr-FR"/>
    </w:rPr>
  </w:style>
  <w:style w:type="paragraph" w:customStyle="1" w:styleId="Summarytitle">
    <w:name w:val="Summary_title"/>
    <w:basedOn w:val="A0"/>
    <w:uiPriority w:val="99"/>
    <w:rsid w:val="00B15A97"/>
    <w:pPr>
      <w:spacing w:before="1200"/>
    </w:pPr>
  </w:style>
  <w:style w:type="paragraph" w:customStyle="1" w:styleId="rtoiles">
    <w:name w:val="r_étoiles"/>
    <w:basedOn w:val="Normal"/>
    <w:next w:val="Normal"/>
    <w:uiPriority w:val="99"/>
    <w:rsid w:val="008B353F"/>
    <w:pPr>
      <w:keepLines/>
      <w:spacing w:before="240" w:after="240" w:line="240" w:lineRule="atLeast"/>
      <w:jc w:val="center"/>
    </w:pPr>
    <w:rPr>
      <w:sz w:val="20"/>
      <w:szCs w:val="20"/>
      <w:lang w:val="fr-FR" w:eastAsia="fr-FR"/>
    </w:rPr>
  </w:style>
  <w:style w:type="paragraph" w:customStyle="1" w:styleId="Summary">
    <w:name w:val="Summary"/>
    <w:basedOn w:val="Normal"/>
    <w:uiPriority w:val="99"/>
    <w:rsid w:val="00440B33"/>
    <w:pPr>
      <w:tabs>
        <w:tab w:val="left" w:pos="-720"/>
      </w:tabs>
      <w:spacing w:after="240" w:line="360" w:lineRule="atLeast"/>
      <w:jc w:val="center"/>
    </w:pPr>
    <w:rPr>
      <w:b/>
      <w:bCs/>
      <w:caps/>
      <w:sz w:val="20"/>
      <w:szCs w:val="20"/>
      <w:lang w:eastAsia="fr-FR"/>
    </w:rPr>
  </w:style>
  <w:style w:type="paragraph" w:styleId="NormalWeb">
    <w:name w:val="Normal (Web)"/>
    <w:basedOn w:val="Normal"/>
    <w:uiPriority w:val="99"/>
    <w:rsid w:val="00231672"/>
    <w:pPr>
      <w:spacing w:before="100" w:beforeAutospacing="1" w:after="100" w:afterAutospacing="1"/>
    </w:pPr>
    <w:rPr>
      <w:lang w:val="fr-FR" w:eastAsia="fr-FR"/>
    </w:rPr>
  </w:style>
  <w:style w:type="paragraph" w:styleId="BalloonText">
    <w:name w:val="Balloon Text"/>
    <w:basedOn w:val="Normal"/>
    <w:link w:val="BalloonTextChar"/>
    <w:uiPriority w:val="99"/>
    <w:semiHidden/>
    <w:rsid w:val="00BB535D"/>
    <w:pPr>
      <w:tabs>
        <w:tab w:val="left" w:pos="-720"/>
      </w:tabs>
      <w:spacing w:line="360" w:lineRule="atLeast"/>
      <w:jc w:val="both"/>
    </w:pPr>
    <w:rPr>
      <w:rFonts w:ascii="Tahoma" w:hAnsi="Tahoma" w:cs="Tahoma"/>
      <w:sz w:val="16"/>
      <w:szCs w:val="16"/>
      <w:lang w:eastAsia="fr-FR"/>
    </w:rPr>
  </w:style>
  <w:style w:type="character" w:customStyle="1" w:styleId="BalloonTextChar">
    <w:name w:val="Balloon Text Char"/>
    <w:link w:val="BalloonText"/>
    <w:uiPriority w:val="99"/>
    <w:semiHidden/>
    <w:locked/>
    <w:rPr>
      <w:sz w:val="2"/>
      <w:szCs w:val="2"/>
      <w:lang w:val="en-GB" w:eastAsia="fr-FR"/>
    </w:rPr>
  </w:style>
  <w:style w:type="character" w:styleId="Hyperlink">
    <w:name w:val="Hyperlink"/>
    <w:rsid w:val="008007D6"/>
    <w:rPr>
      <w:color w:val="0000FF"/>
      <w:u w:val="single"/>
    </w:rPr>
  </w:style>
  <w:style w:type="character" w:styleId="CommentReference">
    <w:name w:val="annotation reference"/>
    <w:uiPriority w:val="99"/>
    <w:semiHidden/>
    <w:rsid w:val="001B1CC8"/>
    <w:rPr>
      <w:sz w:val="16"/>
      <w:szCs w:val="16"/>
    </w:rPr>
  </w:style>
  <w:style w:type="paragraph" w:styleId="CommentText">
    <w:name w:val="annotation text"/>
    <w:basedOn w:val="Normal"/>
    <w:link w:val="CommentTextChar"/>
    <w:uiPriority w:val="99"/>
    <w:rsid w:val="001B1CC8"/>
    <w:pPr>
      <w:tabs>
        <w:tab w:val="left" w:pos="-720"/>
      </w:tabs>
      <w:spacing w:line="360" w:lineRule="atLeast"/>
      <w:jc w:val="both"/>
    </w:pPr>
    <w:rPr>
      <w:sz w:val="20"/>
      <w:szCs w:val="20"/>
      <w:lang w:eastAsia="fr-FR"/>
    </w:rPr>
  </w:style>
  <w:style w:type="character" w:customStyle="1" w:styleId="CommentTextChar">
    <w:name w:val="Comment Text Char"/>
    <w:link w:val="CommentText"/>
    <w:uiPriority w:val="99"/>
    <w:locked/>
    <w:rsid w:val="00EC5A6C"/>
    <w:rPr>
      <w:lang w:eastAsia="fr-FR"/>
    </w:rPr>
  </w:style>
  <w:style w:type="paragraph" w:styleId="CommentSubject">
    <w:name w:val="annotation subject"/>
    <w:basedOn w:val="CommentText"/>
    <w:next w:val="CommentText"/>
    <w:link w:val="CommentSubjectChar"/>
    <w:uiPriority w:val="99"/>
    <w:semiHidden/>
    <w:rsid w:val="001B1CC8"/>
    <w:rPr>
      <w:b/>
      <w:bCs/>
    </w:rPr>
  </w:style>
  <w:style w:type="character" w:customStyle="1" w:styleId="CommentSubjectChar">
    <w:name w:val="Comment Subject Char"/>
    <w:link w:val="CommentSubject"/>
    <w:uiPriority w:val="99"/>
    <w:semiHidden/>
    <w:locked/>
    <w:rPr>
      <w:b/>
      <w:bCs/>
      <w:sz w:val="20"/>
      <w:szCs w:val="20"/>
      <w:lang w:val="en-GB" w:eastAsia="fr-FR"/>
    </w:rPr>
  </w:style>
  <w:style w:type="paragraph" w:customStyle="1" w:styleId="Revisin1">
    <w:name w:val="Revisión1"/>
    <w:hidden/>
    <w:uiPriority w:val="99"/>
    <w:semiHidden/>
    <w:rsid w:val="008D4678"/>
    <w:rPr>
      <w:lang w:val="en-GB" w:eastAsia="fr-FR"/>
    </w:rPr>
  </w:style>
  <w:style w:type="paragraph" w:customStyle="1" w:styleId="texte">
    <w:name w:val="texte"/>
    <w:basedOn w:val="Normal"/>
    <w:uiPriority w:val="99"/>
    <w:rsid w:val="00BA351D"/>
    <w:pPr>
      <w:spacing w:before="100" w:beforeAutospacing="1" w:after="100" w:afterAutospacing="1"/>
    </w:pPr>
    <w:rPr>
      <w:rFonts w:ascii="Arial Unicode MS" w:eastAsia="Arial Unicode MS" w:cs="Arial Unicode MS"/>
      <w:lang w:val="en-US"/>
    </w:rPr>
  </w:style>
  <w:style w:type="paragraph" w:customStyle="1" w:styleId="Reflabnote">
    <w:name w:val="Ref_lab_note"/>
    <w:basedOn w:val="Normal"/>
    <w:link w:val="ReflabnoteCar"/>
    <w:uiPriority w:val="99"/>
    <w:rsid w:val="000225B7"/>
    <w:pPr>
      <w:spacing w:before="120" w:after="120"/>
      <w:jc w:val="center"/>
    </w:pPr>
    <w:rPr>
      <w:rFonts w:ascii="Arial" w:hAnsi="Arial" w:cs="Arial"/>
      <w:sz w:val="18"/>
      <w:szCs w:val="18"/>
      <w:lang w:val="en-US" w:eastAsia="fr-FR"/>
    </w:rPr>
  </w:style>
  <w:style w:type="character" w:customStyle="1" w:styleId="ReflabnoteCar">
    <w:name w:val="Ref_lab_note Car"/>
    <w:link w:val="Reflabnote"/>
    <w:uiPriority w:val="99"/>
    <w:locked/>
    <w:rsid w:val="000225B7"/>
    <w:rPr>
      <w:rFonts w:ascii="Arial" w:hAnsi="Arial" w:cs="Arial"/>
      <w:sz w:val="18"/>
      <w:szCs w:val="18"/>
      <w:lang w:eastAsia="fr-FR"/>
    </w:rPr>
  </w:style>
  <w:style w:type="paragraph" w:customStyle="1" w:styleId="1Para">
    <w:name w:val="1_Para"/>
    <w:basedOn w:val="Normal"/>
    <w:uiPriority w:val="99"/>
    <w:rsid w:val="00846462"/>
    <w:pPr>
      <w:spacing w:after="240"/>
      <w:jc w:val="both"/>
    </w:pPr>
    <w:rPr>
      <w:rFonts w:ascii="Arial" w:hAnsi="Arial" w:cs="Arial"/>
      <w:sz w:val="18"/>
      <w:szCs w:val="18"/>
    </w:rPr>
  </w:style>
  <w:style w:type="paragraph" w:customStyle="1" w:styleId="11">
    <w:name w:val="1.1"/>
    <w:basedOn w:val="Normal"/>
    <w:uiPriority w:val="99"/>
    <w:qFormat/>
    <w:rsid w:val="00846462"/>
    <w:pPr>
      <w:spacing w:after="240"/>
      <w:ind w:left="850" w:hanging="425"/>
    </w:pPr>
    <w:rPr>
      <w:rFonts w:ascii="Ottawa" w:hAnsi="Ottawa" w:cs="Ottawa"/>
      <w:b/>
      <w:bCs/>
      <w:sz w:val="20"/>
      <w:szCs w:val="20"/>
    </w:rPr>
  </w:style>
  <w:style w:type="paragraph" w:customStyle="1" w:styleId="11Para">
    <w:name w:val="1.1_Para"/>
    <w:basedOn w:val="Normal"/>
    <w:uiPriority w:val="99"/>
    <w:rsid w:val="00846462"/>
    <w:pPr>
      <w:spacing w:after="240"/>
      <w:ind w:left="851"/>
      <w:jc w:val="both"/>
    </w:pPr>
    <w:rPr>
      <w:rFonts w:ascii="Arial" w:hAnsi="Arial" w:cs="Arial"/>
      <w:sz w:val="18"/>
      <w:szCs w:val="18"/>
    </w:rPr>
  </w:style>
  <w:style w:type="paragraph" w:customStyle="1" w:styleId="111">
    <w:name w:val="1.1.1"/>
    <w:basedOn w:val="Normal"/>
    <w:qFormat/>
    <w:rsid w:val="00846462"/>
    <w:pPr>
      <w:spacing w:after="120"/>
      <w:ind w:left="1418" w:hanging="567"/>
    </w:pPr>
    <w:rPr>
      <w:rFonts w:ascii="Ottawa" w:hAnsi="Ottawa" w:cs="Ottawa"/>
      <w:b/>
      <w:bCs/>
      <w:sz w:val="19"/>
      <w:szCs w:val="19"/>
    </w:rPr>
  </w:style>
  <w:style w:type="paragraph" w:customStyle="1" w:styleId="111Para">
    <w:name w:val="1.1.1_Para"/>
    <w:basedOn w:val="Normal"/>
    <w:uiPriority w:val="99"/>
    <w:rsid w:val="00846462"/>
    <w:pPr>
      <w:spacing w:after="240"/>
      <w:ind w:left="1418"/>
      <w:jc w:val="both"/>
    </w:pPr>
    <w:rPr>
      <w:rFonts w:ascii="Arial" w:hAnsi="Arial" w:cs="Arial"/>
      <w:sz w:val="18"/>
      <w:szCs w:val="18"/>
    </w:rPr>
  </w:style>
  <w:style w:type="paragraph" w:customStyle="1" w:styleId="ilast">
    <w:name w:val="i)_last"/>
    <w:basedOn w:val="Normal"/>
    <w:uiPriority w:val="99"/>
    <w:rsid w:val="00846462"/>
    <w:pPr>
      <w:spacing w:after="240"/>
      <w:ind w:left="1843" w:hanging="425"/>
    </w:pPr>
    <w:rPr>
      <w:rFonts w:ascii="Arial" w:hAnsi="Arial" w:cs="Arial"/>
      <w:sz w:val="18"/>
      <w:szCs w:val="18"/>
    </w:rPr>
  </w:style>
  <w:style w:type="paragraph" w:customStyle="1" w:styleId="afourthlevel">
    <w:name w:val="a)_fourth_level"/>
    <w:basedOn w:val="Normal"/>
    <w:uiPriority w:val="99"/>
    <w:rsid w:val="00846462"/>
    <w:pPr>
      <w:spacing w:after="120"/>
      <w:ind w:left="1843" w:hanging="425"/>
    </w:pPr>
    <w:rPr>
      <w:rFonts w:ascii="Ottawa" w:hAnsi="Ottawa" w:cs="Ottawa"/>
      <w:b/>
      <w:bCs/>
      <w:sz w:val="18"/>
      <w:szCs w:val="18"/>
    </w:rPr>
  </w:style>
  <w:style w:type="paragraph" w:customStyle="1" w:styleId="afourthpara">
    <w:name w:val="a)_fourth_para"/>
    <w:basedOn w:val="Normal"/>
    <w:uiPriority w:val="99"/>
    <w:rsid w:val="00846462"/>
    <w:pPr>
      <w:spacing w:after="240"/>
      <w:ind w:left="1843"/>
      <w:jc w:val="both"/>
    </w:pPr>
    <w:rPr>
      <w:rFonts w:ascii="Arial" w:hAnsi="Arial" w:cs="Arial"/>
      <w:sz w:val="18"/>
      <w:szCs w:val="18"/>
    </w:rPr>
  </w:style>
  <w:style w:type="paragraph" w:customStyle="1" w:styleId="ififthlevel">
    <w:name w:val="i)_fifth_level"/>
    <w:basedOn w:val="Normal"/>
    <w:uiPriority w:val="99"/>
    <w:rsid w:val="00846462"/>
    <w:pPr>
      <w:spacing w:after="120"/>
      <w:ind w:left="2268" w:hanging="425"/>
    </w:pPr>
    <w:rPr>
      <w:rFonts w:ascii="Ottawa" w:hAnsi="Ottawa" w:cs="Ottawa"/>
      <w:b/>
      <w:bCs/>
      <w:sz w:val="17"/>
      <w:szCs w:val="17"/>
    </w:rPr>
  </w:style>
  <w:style w:type="paragraph" w:customStyle="1" w:styleId="ififthpara">
    <w:name w:val="i)_fifth_para"/>
    <w:basedOn w:val="Normal"/>
    <w:uiPriority w:val="99"/>
    <w:rsid w:val="00846462"/>
    <w:pPr>
      <w:spacing w:after="240"/>
      <w:ind w:left="2268"/>
      <w:jc w:val="both"/>
    </w:pPr>
    <w:rPr>
      <w:rFonts w:ascii="Arial" w:hAnsi="Arial" w:cs="Arial"/>
      <w:sz w:val="18"/>
      <w:szCs w:val="18"/>
    </w:rPr>
  </w:style>
  <w:style w:type="paragraph" w:customStyle="1" w:styleId="dotsixthlevel">
    <w:name w:val="dot_sixth_level"/>
    <w:basedOn w:val="Normal"/>
    <w:uiPriority w:val="99"/>
    <w:rsid w:val="00846462"/>
    <w:pPr>
      <w:spacing w:after="120"/>
      <w:ind w:left="2268" w:hanging="425"/>
    </w:pPr>
    <w:rPr>
      <w:rFonts w:ascii="Arial" w:hAnsi="Arial" w:cs="Arial"/>
      <w:sz w:val="18"/>
      <w:szCs w:val="18"/>
    </w:rPr>
  </w:style>
  <w:style w:type="paragraph" w:customStyle="1" w:styleId="dotsixthpara">
    <w:name w:val="dot_sixth_para"/>
    <w:basedOn w:val="Normal"/>
    <w:uiPriority w:val="99"/>
    <w:rsid w:val="00846462"/>
    <w:pPr>
      <w:spacing w:after="240"/>
      <w:ind w:left="2268"/>
      <w:jc w:val="both"/>
    </w:pPr>
    <w:rPr>
      <w:rFonts w:ascii="Arial" w:hAnsi="Arial" w:cs="Arial"/>
      <w:sz w:val="18"/>
      <w:szCs w:val="18"/>
    </w:rPr>
  </w:style>
  <w:style w:type="paragraph" w:customStyle="1" w:styleId="ififthlevellist">
    <w:name w:val="i_fifth_level_list"/>
    <w:basedOn w:val="ififthpara"/>
    <w:uiPriority w:val="99"/>
    <w:rsid w:val="00846462"/>
    <w:pPr>
      <w:spacing w:after="120"/>
      <w:ind w:hanging="425"/>
    </w:pPr>
  </w:style>
  <w:style w:type="paragraph" w:customStyle="1" w:styleId="TableHead">
    <w:name w:val="Table Head"/>
    <w:basedOn w:val="Normal"/>
    <w:rsid w:val="00846462"/>
    <w:pPr>
      <w:spacing w:before="120" w:after="120"/>
      <w:jc w:val="center"/>
    </w:pPr>
    <w:rPr>
      <w:rFonts w:ascii="Ottawa" w:hAnsi="Ottawa" w:cs="Ottawa"/>
      <w:b/>
      <w:bCs/>
      <w:sz w:val="18"/>
      <w:szCs w:val="18"/>
      <w:lang w:val="en-IE"/>
    </w:rPr>
  </w:style>
  <w:style w:type="paragraph" w:customStyle="1" w:styleId="Tabletext">
    <w:name w:val="Table text"/>
    <w:basedOn w:val="Normal"/>
    <w:rsid w:val="00846462"/>
    <w:pPr>
      <w:spacing w:before="120" w:after="120"/>
      <w:jc w:val="center"/>
    </w:pPr>
    <w:rPr>
      <w:rFonts w:ascii="Arial" w:hAnsi="Arial" w:cs="Arial"/>
      <w:sz w:val="18"/>
      <w:szCs w:val="18"/>
      <w:lang w:val="en-IE"/>
    </w:rPr>
  </w:style>
  <w:style w:type="character" w:customStyle="1" w:styleId="paraACar">
    <w:name w:val="paraA Car"/>
    <w:link w:val="paraA0"/>
    <w:uiPriority w:val="99"/>
    <w:locked/>
    <w:rsid w:val="00846462"/>
    <w:rPr>
      <w:rFonts w:ascii="Arial" w:hAnsi="Arial" w:cs="Arial"/>
      <w:sz w:val="18"/>
      <w:szCs w:val="18"/>
      <w:lang w:eastAsia="fr-FR"/>
    </w:rPr>
  </w:style>
  <w:style w:type="paragraph" w:styleId="PlainText">
    <w:name w:val="Plain Text"/>
    <w:basedOn w:val="Normal"/>
    <w:link w:val="PlainTextChar"/>
    <w:uiPriority w:val="99"/>
    <w:rsid w:val="00846462"/>
    <w:rPr>
      <w:rFonts w:ascii="Calibri" w:hAnsi="Calibri" w:cs="Calibri"/>
      <w:sz w:val="22"/>
      <w:szCs w:val="22"/>
    </w:rPr>
  </w:style>
  <w:style w:type="character" w:customStyle="1" w:styleId="PlainTextChar">
    <w:name w:val="Plain Text Char"/>
    <w:link w:val="PlainText"/>
    <w:uiPriority w:val="99"/>
    <w:locked/>
    <w:rsid w:val="00846462"/>
    <w:rPr>
      <w:rFonts w:ascii="Calibri" w:hAnsi="Calibri" w:cs="Calibri"/>
      <w:sz w:val="21"/>
      <w:szCs w:val="21"/>
      <w:lang w:eastAsia="en-US"/>
    </w:rPr>
  </w:style>
  <w:style w:type="paragraph" w:customStyle="1" w:styleId="Tabletitle">
    <w:name w:val="Table title"/>
    <w:basedOn w:val="Normal"/>
    <w:autoRedefine/>
    <w:uiPriority w:val="99"/>
    <w:rsid w:val="005D629C"/>
    <w:pPr>
      <w:spacing w:after="120"/>
      <w:jc w:val="center"/>
    </w:pPr>
    <w:rPr>
      <w:rFonts w:ascii="Ottawa" w:hAnsi="Ottawa" w:cs="Ottawa"/>
      <w:b/>
      <w:bCs/>
      <w:i/>
      <w:iCs/>
      <w:sz w:val="18"/>
      <w:szCs w:val="18"/>
    </w:rPr>
  </w:style>
  <w:style w:type="character" w:customStyle="1" w:styleId="Mencinsinresolver1">
    <w:name w:val="Mención sin resolver1"/>
    <w:uiPriority w:val="99"/>
    <w:semiHidden/>
    <w:rsid w:val="00CC11BE"/>
    <w:rPr>
      <w:color w:val="auto"/>
      <w:shd w:val="clear" w:color="auto" w:fill="auto"/>
    </w:rPr>
  </w:style>
  <w:style w:type="paragraph" w:styleId="Revision">
    <w:name w:val="Revision"/>
    <w:hidden/>
    <w:uiPriority w:val="99"/>
    <w:semiHidden/>
    <w:rsid w:val="00B22517"/>
    <w:rPr>
      <w:lang w:val="en-GB" w:eastAsia="fr-FR"/>
    </w:rPr>
  </w:style>
  <w:style w:type="character" w:customStyle="1" w:styleId="UnresolvedMention1">
    <w:name w:val="Unresolved Mention1"/>
    <w:basedOn w:val="DefaultParagraphFont"/>
    <w:uiPriority w:val="99"/>
    <w:semiHidden/>
    <w:unhideWhenUsed/>
    <w:rsid w:val="00155051"/>
    <w:rPr>
      <w:color w:val="605E5C"/>
      <w:shd w:val="clear" w:color="auto" w:fill="E1DFDD"/>
    </w:rPr>
  </w:style>
  <w:style w:type="character" w:customStyle="1" w:styleId="apple-converted-space">
    <w:name w:val="apple-converted-space"/>
    <w:basedOn w:val="DefaultParagraphFont"/>
    <w:rsid w:val="00F67205"/>
  </w:style>
  <w:style w:type="character" w:styleId="Emphasis">
    <w:name w:val="Emphasis"/>
    <w:basedOn w:val="DefaultParagraphFont"/>
    <w:uiPriority w:val="20"/>
    <w:qFormat/>
    <w:locked/>
    <w:rsid w:val="00F67205"/>
    <w:rPr>
      <w:i/>
      <w:iCs/>
    </w:rPr>
  </w:style>
  <w:style w:type="paragraph" w:customStyle="1" w:styleId="desc">
    <w:name w:val="desc"/>
    <w:basedOn w:val="Normal"/>
    <w:rsid w:val="00854F27"/>
    <w:pPr>
      <w:spacing w:before="100" w:beforeAutospacing="1" w:after="100" w:afterAutospacing="1"/>
    </w:pPr>
    <w:rPr>
      <w:rFonts w:ascii="Times" w:eastAsiaTheme="minorHAnsi" w:hAnsi="Times" w:cstheme="minorBidi"/>
      <w:sz w:val="20"/>
      <w:szCs w:val="20"/>
      <w:lang w:val="nl-NL" w:eastAsia="nl-NL"/>
    </w:rPr>
  </w:style>
  <w:style w:type="character" w:customStyle="1" w:styleId="jrnl">
    <w:name w:val="jrnl"/>
    <w:basedOn w:val="DefaultParagraphFont"/>
    <w:rsid w:val="00854F27"/>
  </w:style>
  <w:style w:type="table" w:styleId="TableGrid">
    <w:name w:val="Table Grid"/>
    <w:basedOn w:val="TableNormal"/>
    <w:uiPriority w:val="39"/>
    <w:locked/>
    <w:rsid w:val="00854F2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342"/>
    <w:rPr>
      <w:color w:val="800080" w:themeColor="followedHyperlink"/>
      <w:u w:val="single"/>
    </w:rPr>
  </w:style>
  <w:style w:type="character" w:customStyle="1" w:styleId="self-citation-authors">
    <w:name w:val="self-citation-authors"/>
    <w:basedOn w:val="DefaultParagraphFont"/>
    <w:rsid w:val="006A389B"/>
  </w:style>
  <w:style w:type="character" w:customStyle="1" w:styleId="self-citation-year">
    <w:name w:val="self-citation-year"/>
    <w:basedOn w:val="DefaultParagraphFont"/>
    <w:rsid w:val="006A389B"/>
  </w:style>
  <w:style w:type="character" w:customStyle="1" w:styleId="self-citation-title">
    <w:name w:val="self-citation-title"/>
    <w:basedOn w:val="DefaultParagraphFont"/>
    <w:rsid w:val="006A389B"/>
  </w:style>
  <w:style w:type="character" w:customStyle="1" w:styleId="self-citation-journal">
    <w:name w:val="self-citation-journal"/>
    <w:basedOn w:val="DefaultParagraphFont"/>
    <w:rsid w:val="006A389B"/>
  </w:style>
  <w:style w:type="character" w:customStyle="1" w:styleId="self-citation-volume">
    <w:name w:val="self-citation-volume"/>
    <w:basedOn w:val="DefaultParagraphFont"/>
    <w:rsid w:val="006A389B"/>
  </w:style>
  <w:style w:type="character" w:customStyle="1" w:styleId="self-citation-elocation">
    <w:name w:val="self-citation-elocation"/>
    <w:basedOn w:val="DefaultParagraphFont"/>
    <w:rsid w:val="006A389B"/>
  </w:style>
  <w:style w:type="character" w:customStyle="1" w:styleId="cf01">
    <w:name w:val="cf01"/>
    <w:basedOn w:val="DefaultParagraphFont"/>
    <w:rsid w:val="00412211"/>
    <w:rPr>
      <w:rFonts w:ascii="Segoe UI" w:hAnsi="Segoe UI" w:cs="Segoe UI" w:hint="default"/>
      <w:sz w:val="18"/>
      <w:szCs w:val="18"/>
    </w:rPr>
  </w:style>
  <w:style w:type="paragraph" w:customStyle="1" w:styleId="pf0">
    <w:name w:val="pf0"/>
    <w:basedOn w:val="Normal"/>
    <w:rsid w:val="00B2135D"/>
    <w:pPr>
      <w:spacing w:before="100" w:beforeAutospacing="1" w:after="100" w:afterAutospacing="1"/>
    </w:pPr>
    <w:rPr>
      <w:lang w:val="fr-FR" w:eastAsia="fr-FR"/>
    </w:rPr>
  </w:style>
  <w:style w:type="character" w:customStyle="1" w:styleId="authors-list-item">
    <w:name w:val="authors-list-item"/>
    <w:basedOn w:val="DefaultParagraphFont"/>
    <w:rsid w:val="002375E2"/>
  </w:style>
  <w:style w:type="character" w:customStyle="1" w:styleId="author-sup-separator">
    <w:name w:val="author-sup-separator"/>
    <w:basedOn w:val="DefaultParagraphFont"/>
    <w:rsid w:val="002375E2"/>
  </w:style>
  <w:style w:type="character" w:customStyle="1" w:styleId="comma">
    <w:name w:val="comma"/>
    <w:basedOn w:val="DefaultParagraphFont"/>
    <w:rsid w:val="002375E2"/>
  </w:style>
  <w:style w:type="character" w:customStyle="1" w:styleId="text">
    <w:name w:val="text"/>
    <w:basedOn w:val="DefaultParagraphFont"/>
    <w:rsid w:val="0072400D"/>
  </w:style>
  <w:style w:type="character" w:customStyle="1" w:styleId="author-ref">
    <w:name w:val="author-ref"/>
    <w:basedOn w:val="DefaultParagraphFont"/>
    <w:rsid w:val="0072400D"/>
  </w:style>
  <w:style w:type="character" w:customStyle="1" w:styleId="title-text">
    <w:name w:val="title-text"/>
    <w:basedOn w:val="DefaultParagraphFont"/>
    <w:rsid w:val="005609CE"/>
  </w:style>
  <w:style w:type="character" w:customStyle="1" w:styleId="period">
    <w:name w:val="period"/>
    <w:basedOn w:val="DefaultParagraphFont"/>
    <w:rsid w:val="00805FE5"/>
  </w:style>
  <w:style w:type="character" w:customStyle="1" w:styleId="cit">
    <w:name w:val="cit"/>
    <w:basedOn w:val="DefaultParagraphFont"/>
    <w:rsid w:val="00805FE5"/>
  </w:style>
  <w:style w:type="character" w:customStyle="1" w:styleId="citation-doi">
    <w:name w:val="citation-doi"/>
    <w:basedOn w:val="DefaultParagraphFont"/>
    <w:rsid w:val="00805FE5"/>
  </w:style>
  <w:style w:type="character" w:customStyle="1" w:styleId="secondary-date">
    <w:name w:val="secondary-date"/>
    <w:basedOn w:val="DefaultParagraphFont"/>
    <w:rsid w:val="00805FE5"/>
  </w:style>
  <w:style w:type="paragraph" w:styleId="BodyText">
    <w:name w:val="Body Text"/>
    <w:basedOn w:val="Normal"/>
    <w:link w:val="BodyTextChar"/>
    <w:rsid w:val="00A45C13"/>
    <w:rPr>
      <w:rFonts w:ascii="Arial" w:eastAsia="Times New Roman" w:hAnsi="Arial"/>
      <w:lang w:val="en-US"/>
    </w:rPr>
  </w:style>
  <w:style w:type="character" w:customStyle="1" w:styleId="BodyTextChar">
    <w:name w:val="Body Text Char"/>
    <w:basedOn w:val="DefaultParagraphFont"/>
    <w:link w:val="BodyText"/>
    <w:rsid w:val="00A45C13"/>
    <w:rPr>
      <w:rFonts w:ascii="Arial" w:eastAsia="Times New Roman" w:hAnsi="Arial"/>
      <w:sz w:val="24"/>
      <w:szCs w:val="24"/>
      <w:lang w:val="en-US" w:eastAsia="en-US"/>
    </w:rPr>
  </w:style>
  <w:style w:type="character" w:styleId="UnresolvedMention">
    <w:name w:val="Unresolved Mention"/>
    <w:basedOn w:val="DefaultParagraphFont"/>
    <w:uiPriority w:val="99"/>
    <w:semiHidden/>
    <w:unhideWhenUsed/>
    <w:rsid w:val="00AC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616">
      <w:bodyDiv w:val="1"/>
      <w:marLeft w:val="0"/>
      <w:marRight w:val="0"/>
      <w:marTop w:val="0"/>
      <w:marBottom w:val="0"/>
      <w:divBdr>
        <w:top w:val="none" w:sz="0" w:space="0" w:color="auto"/>
        <w:left w:val="none" w:sz="0" w:space="0" w:color="auto"/>
        <w:bottom w:val="none" w:sz="0" w:space="0" w:color="auto"/>
        <w:right w:val="none" w:sz="0" w:space="0" w:color="auto"/>
      </w:divBdr>
      <w:divsChild>
        <w:div w:id="1903442111">
          <w:marLeft w:val="0"/>
          <w:marRight w:val="0"/>
          <w:marTop w:val="0"/>
          <w:marBottom w:val="0"/>
          <w:divBdr>
            <w:top w:val="none" w:sz="0" w:space="0" w:color="auto"/>
            <w:left w:val="none" w:sz="0" w:space="0" w:color="auto"/>
            <w:bottom w:val="none" w:sz="0" w:space="0" w:color="auto"/>
            <w:right w:val="none" w:sz="0" w:space="0" w:color="auto"/>
          </w:divBdr>
          <w:divsChild>
            <w:div w:id="1851868888">
              <w:marLeft w:val="0"/>
              <w:marRight w:val="0"/>
              <w:marTop w:val="0"/>
              <w:marBottom w:val="0"/>
              <w:divBdr>
                <w:top w:val="none" w:sz="0" w:space="0" w:color="auto"/>
                <w:left w:val="none" w:sz="0" w:space="0" w:color="auto"/>
                <w:bottom w:val="none" w:sz="0" w:space="0" w:color="auto"/>
                <w:right w:val="none" w:sz="0" w:space="0" w:color="auto"/>
              </w:divBdr>
              <w:divsChild>
                <w:div w:id="1215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770">
      <w:bodyDiv w:val="1"/>
      <w:marLeft w:val="0"/>
      <w:marRight w:val="0"/>
      <w:marTop w:val="0"/>
      <w:marBottom w:val="0"/>
      <w:divBdr>
        <w:top w:val="none" w:sz="0" w:space="0" w:color="auto"/>
        <w:left w:val="none" w:sz="0" w:space="0" w:color="auto"/>
        <w:bottom w:val="none" w:sz="0" w:space="0" w:color="auto"/>
        <w:right w:val="none" w:sz="0" w:space="0" w:color="auto"/>
      </w:divBdr>
    </w:div>
    <w:div w:id="55514465">
      <w:bodyDiv w:val="1"/>
      <w:marLeft w:val="0"/>
      <w:marRight w:val="0"/>
      <w:marTop w:val="0"/>
      <w:marBottom w:val="0"/>
      <w:divBdr>
        <w:top w:val="none" w:sz="0" w:space="0" w:color="auto"/>
        <w:left w:val="none" w:sz="0" w:space="0" w:color="auto"/>
        <w:bottom w:val="none" w:sz="0" w:space="0" w:color="auto"/>
        <w:right w:val="none" w:sz="0" w:space="0" w:color="auto"/>
      </w:divBdr>
    </w:div>
    <w:div w:id="118689086">
      <w:bodyDiv w:val="1"/>
      <w:marLeft w:val="0"/>
      <w:marRight w:val="0"/>
      <w:marTop w:val="0"/>
      <w:marBottom w:val="0"/>
      <w:divBdr>
        <w:top w:val="none" w:sz="0" w:space="0" w:color="auto"/>
        <w:left w:val="none" w:sz="0" w:space="0" w:color="auto"/>
        <w:bottom w:val="none" w:sz="0" w:space="0" w:color="auto"/>
        <w:right w:val="none" w:sz="0" w:space="0" w:color="auto"/>
      </w:divBdr>
    </w:div>
    <w:div w:id="178861057">
      <w:bodyDiv w:val="1"/>
      <w:marLeft w:val="0"/>
      <w:marRight w:val="0"/>
      <w:marTop w:val="0"/>
      <w:marBottom w:val="0"/>
      <w:divBdr>
        <w:top w:val="none" w:sz="0" w:space="0" w:color="auto"/>
        <w:left w:val="none" w:sz="0" w:space="0" w:color="auto"/>
        <w:bottom w:val="none" w:sz="0" w:space="0" w:color="auto"/>
        <w:right w:val="none" w:sz="0" w:space="0" w:color="auto"/>
      </w:divBdr>
      <w:divsChild>
        <w:div w:id="1055086138">
          <w:marLeft w:val="0"/>
          <w:marRight w:val="0"/>
          <w:marTop w:val="0"/>
          <w:marBottom w:val="0"/>
          <w:divBdr>
            <w:top w:val="none" w:sz="0" w:space="0" w:color="auto"/>
            <w:left w:val="none" w:sz="0" w:space="0" w:color="auto"/>
            <w:bottom w:val="none" w:sz="0" w:space="0" w:color="auto"/>
            <w:right w:val="none" w:sz="0" w:space="0" w:color="auto"/>
          </w:divBdr>
          <w:divsChild>
            <w:div w:id="1322613487">
              <w:marLeft w:val="0"/>
              <w:marRight w:val="0"/>
              <w:marTop w:val="0"/>
              <w:marBottom w:val="0"/>
              <w:divBdr>
                <w:top w:val="none" w:sz="0" w:space="0" w:color="auto"/>
                <w:left w:val="none" w:sz="0" w:space="0" w:color="auto"/>
                <w:bottom w:val="none" w:sz="0" w:space="0" w:color="auto"/>
                <w:right w:val="none" w:sz="0" w:space="0" w:color="auto"/>
              </w:divBdr>
              <w:divsChild>
                <w:div w:id="14616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14790">
          <w:marLeft w:val="0"/>
          <w:marRight w:val="0"/>
          <w:marTop w:val="0"/>
          <w:marBottom w:val="0"/>
          <w:divBdr>
            <w:top w:val="none" w:sz="0" w:space="0" w:color="auto"/>
            <w:left w:val="none" w:sz="0" w:space="0" w:color="auto"/>
            <w:bottom w:val="none" w:sz="0" w:space="0" w:color="auto"/>
            <w:right w:val="none" w:sz="0" w:space="0" w:color="auto"/>
          </w:divBdr>
          <w:divsChild>
            <w:div w:id="660348393">
              <w:marLeft w:val="0"/>
              <w:marRight w:val="0"/>
              <w:marTop w:val="0"/>
              <w:marBottom w:val="0"/>
              <w:divBdr>
                <w:top w:val="none" w:sz="0" w:space="0" w:color="auto"/>
                <w:left w:val="none" w:sz="0" w:space="0" w:color="auto"/>
                <w:bottom w:val="none" w:sz="0" w:space="0" w:color="auto"/>
                <w:right w:val="none" w:sz="0" w:space="0" w:color="auto"/>
              </w:divBdr>
              <w:divsChild>
                <w:div w:id="180314353">
                  <w:marLeft w:val="0"/>
                  <w:marRight w:val="0"/>
                  <w:marTop w:val="0"/>
                  <w:marBottom w:val="0"/>
                  <w:divBdr>
                    <w:top w:val="none" w:sz="0" w:space="0" w:color="auto"/>
                    <w:left w:val="none" w:sz="0" w:space="0" w:color="auto"/>
                    <w:bottom w:val="none" w:sz="0" w:space="0" w:color="auto"/>
                    <w:right w:val="none" w:sz="0" w:space="0" w:color="auto"/>
                  </w:divBdr>
                  <w:divsChild>
                    <w:div w:id="1054504745">
                      <w:marLeft w:val="0"/>
                      <w:marRight w:val="0"/>
                      <w:marTop w:val="0"/>
                      <w:marBottom w:val="0"/>
                      <w:divBdr>
                        <w:top w:val="none" w:sz="0" w:space="0" w:color="auto"/>
                        <w:left w:val="none" w:sz="0" w:space="0" w:color="auto"/>
                        <w:bottom w:val="none" w:sz="0" w:space="0" w:color="auto"/>
                        <w:right w:val="none" w:sz="0" w:space="0" w:color="auto"/>
                      </w:divBdr>
                      <w:divsChild>
                        <w:div w:id="121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725">
      <w:bodyDiv w:val="1"/>
      <w:marLeft w:val="0"/>
      <w:marRight w:val="0"/>
      <w:marTop w:val="0"/>
      <w:marBottom w:val="0"/>
      <w:divBdr>
        <w:top w:val="none" w:sz="0" w:space="0" w:color="auto"/>
        <w:left w:val="none" w:sz="0" w:space="0" w:color="auto"/>
        <w:bottom w:val="none" w:sz="0" w:space="0" w:color="auto"/>
        <w:right w:val="none" w:sz="0" w:space="0" w:color="auto"/>
      </w:divBdr>
    </w:div>
    <w:div w:id="205221450">
      <w:bodyDiv w:val="1"/>
      <w:marLeft w:val="0"/>
      <w:marRight w:val="0"/>
      <w:marTop w:val="0"/>
      <w:marBottom w:val="0"/>
      <w:divBdr>
        <w:top w:val="none" w:sz="0" w:space="0" w:color="auto"/>
        <w:left w:val="none" w:sz="0" w:space="0" w:color="auto"/>
        <w:bottom w:val="none" w:sz="0" w:space="0" w:color="auto"/>
        <w:right w:val="none" w:sz="0" w:space="0" w:color="auto"/>
      </w:divBdr>
    </w:div>
    <w:div w:id="268899913">
      <w:bodyDiv w:val="1"/>
      <w:marLeft w:val="0"/>
      <w:marRight w:val="0"/>
      <w:marTop w:val="0"/>
      <w:marBottom w:val="0"/>
      <w:divBdr>
        <w:top w:val="none" w:sz="0" w:space="0" w:color="auto"/>
        <w:left w:val="none" w:sz="0" w:space="0" w:color="auto"/>
        <w:bottom w:val="none" w:sz="0" w:space="0" w:color="auto"/>
        <w:right w:val="none" w:sz="0" w:space="0" w:color="auto"/>
      </w:divBdr>
    </w:div>
    <w:div w:id="286199233">
      <w:marLeft w:val="0"/>
      <w:marRight w:val="0"/>
      <w:marTop w:val="0"/>
      <w:marBottom w:val="0"/>
      <w:divBdr>
        <w:top w:val="none" w:sz="0" w:space="0" w:color="auto"/>
        <w:left w:val="none" w:sz="0" w:space="0" w:color="auto"/>
        <w:bottom w:val="none" w:sz="0" w:space="0" w:color="auto"/>
        <w:right w:val="none" w:sz="0" w:space="0" w:color="auto"/>
      </w:divBdr>
    </w:div>
    <w:div w:id="286199235">
      <w:marLeft w:val="0"/>
      <w:marRight w:val="0"/>
      <w:marTop w:val="0"/>
      <w:marBottom w:val="0"/>
      <w:divBdr>
        <w:top w:val="none" w:sz="0" w:space="0" w:color="auto"/>
        <w:left w:val="none" w:sz="0" w:space="0" w:color="auto"/>
        <w:bottom w:val="none" w:sz="0" w:space="0" w:color="auto"/>
        <w:right w:val="none" w:sz="0" w:space="0" w:color="auto"/>
      </w:divBdr>
    </w:div>
    <w:div w:id="286199236">
      <w:marLeft w:val="0"/>
      <w:marRight w:val="0"/>
      <w:marTop w:val="0"/>
      <w:marBottom w:val="0"/>
      <w:divBdr>
        <w:top w:val="none" w:sz="0" w:space="0" w:color="auto"/>
        <w:left w:val="none" w:sz="0" w:space="0" w:color="auto"/>
        <w:bottom w:val="none" w:sz="0" w:space="0" w:color="auto"/>
        <w:right w:val="none" w:sz="0" w:space="0" w:color="auto"/>
      </w:divBdr>
    </w:div>
    <w:div w:id="286199237">
      <w:marLeft w:val="0"/>
      <w:marRight w:val="0"/>
      <w:marTop w:val="0"/>
      <w:marBottom w:val="0"/>
      <w:divBdr>
        <w:top w:val="none" w:sz="0" w:space="0" w:color="auto"/>
        <w:left w:val="none" w:sz="0" w:space="0" w:color="auto"/>
        <w:bottom w:val="none" w:sz="0" w:space="0" w:color="auto"/>
        <w:right w:val="none" w:sz="0" w:space="0" w:color="auto"/>
      </w:divBdr>
      <w:divsChild>
        <w:div w:id="286199253">
          <w:marLeft w:val="0"/>
          <w:marRight w:val="0"/>
          <w:marTop w:val="0"/>
          <w:marBottom w:val="0"/>
          <w:divBdr>
            <w:top w:val="none" w:sz="0" w:space="0" w:color="auto"/>
            <w:left w:val="none" w:sz="0" w:space="0" w:color="auto"/>
            <w:bottom w:val="none" w:sz="0" w:space="0" w:color="auto"/>
            <w:right w:val="none" w:sz="0" w:space="0" w:color="auto"/>
          </w:divBdr>
          <w:divsChild>
            <w:div w:id="2861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99238">
      <w:marLeft w:val="0"/>
      <w:marRight w:val="0"/>
      <w:marTop w:val="0"/>
      <w:marBottom w:val="0"/>
      <w:divBdr>
        <w:top w:val="none" w:sz="0" w:space="0" w:color="auto"/>
        <w:left w:val="none" w:sz="0" w:space="0" w:color="auto"/>
        <w:bottom w:val="none" w:sz="0" w:space="0" w:color="auto"/>
        <w:right w:val="none" w:sz="0" w:space="0" w:color="auto"/>
      </w:divBdr>
    </w:div>
    <w:div w:id="286199239">
      <w:marLeft w:val="0"/>
      <w:marRight w:val="0"/>
      <w:marTop w:val="0"/>
      <w:marBottom w:val="0"/>
      <w:divBdr>
        <w:top w:val="none" w:sz="0" w:space="0" w:color="auto"/>
        <w:left w:val="none" w:sz="0" w:space="0" w:color="auto"/>
        <w:bottom w:val="none" w:sz="0" w:space="0" w:color="auto"/>
        <w:right w:val="none" w:sz="0" w:space="0" w:color="auto"/>
      </w:divBdr>
    </w:div>
    <w:div w:id="286199240">
      <w:marLeft w:val="0"/>
      <w:marRight w:val="0"/>
      <w:marTop w:val="0"/>
      <w:marBottom w:val="0"/>
      <w:divBdr>
        <w:top w:val="none" w:sz="0" w:space="0" w:color="auto"/>
        <w:left w:val="none" w:sz="0" w:space="0" w:color="auto"/>
        <w:bottom w:val="none" w:sz="0" w:space="0" w:color="auto"/>
        <w:right w:val="none" w:sz="0" w:space="0" w:color="auto"/>
      </w:divBdr>
    </w:div>
    <w:div w:id="286199241">
      <w:marLeft w:val="0"/>
      <w:marRight w:val="0"/>
      <w:marTop w:val="0"/>
      <w:marBottom w:val="0"/>
      <w:divBdr>
        <w:top w:val="none" w:sz="0" w:space="0" w:color="auto"/>
        <w:left w:val="none" w:sz="0" w:space="0" w:color="auto"/>
        <w:bottom w:val="none" w:sz="0" w:space="0" w:color="auto"/>
        <w:right w:val="none" w:sz="0" w:space="0" w:color="auto"/>
      </w:divBdr>
    </w:div>
    <w:div w:id="286199242">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286199244">
      <w:marLeft w:val="0"/>
      <w:marRight w:val="0"/>
      <w:marTop w:val="0"/>
      <w:marBottom w:val="0"/>
      <w:divBdr>
        <w:top w:val="none" w:sz="0" w:space="0" w:color="auto"/>
        <w:left w:val="none" w:sz="0" w:space="0" w:color="auto"/>
        <w:bottom w:val="none" w:sz="0" w:space="0" w:color="auto"/>
        <w:right w:val="none" w:sz="0" w:space="0" w:color="auto"/>
      </w:divBdr>
    </w:div>
    <w:div w:id="286199245">
      <w:marLeft w:val="0"/>
      <w:marRight w:val="0"/>
      <w:marTop w:val="0"/>
      <w:marBottom w:val="0"/>
      <w:divBdr>
        <w:top w:val="none" w:sz="0" w:space="0" w:color="auto"/>
        <w:left w:val="none" w:sz="0" w:space="0" w:color="auto"/>
        <w:bottom w:val="none" w:sz="0" w:space="0" w:color="auto"/>
        <w:right w:val="none" w:sz="0" w:space="0" w:color="auto"/>
      </w:divBdr>
    </w:div>
    <w:div w:id="286199246">
      <w:marLeft w:val="0"/>
      <w:marRight w:val="0"/>
      <w:marTop w:val="0"/>
      <w:marBottom w:val="0"/>
      <w:divBdr>
        <w:top w:val="none" w:sz="0" w:space="0" w:color="auto"/>
        <w:left w:val="none" w:sz="0" w:space="0" w:color="auto"/>
        <w:bottom w:val="none" w:sz="0" w:space="0" w:color="auto"/>
        <w:right w:val="none" w:sz="0" w:space="0" w:color="auto"/>
      </w:divBdr>
      <w:divsChild>
        <w:div w:id="286199247">
          <w:marLeft w:val="720"/>
          <w:marRight w:val="720"/>
          <w:marTop w:val="100"/>
          <w:marBottom w:val="100"/>
          <w:divBdr>
            <w:top w:val="none" w:sz="0" w:space="0" w:color="auto"/>
            <w:left w:val="none" w:sz="0" w:space="0" w:color="auto"/>
            <w:bottom w:val="none" w:sz="0" w:space="0" w:color="auto"/>
            <w:right w:val="none" w:sz="0" w:space="0" w:color="auto"/>
          </w:divBdr>
        </w:div>
      </w:divsChild>
    </w:div>
    <w:div w:id="286199248">
      <w:marLeft w:val="0"/>
      <w:marRight w:val="0"/>
      <w:marTop w:val="0"/>
      <w:marBottom w:val="0"/>
      <w:divBdr>
        <w:top w:val="none" w:sz="0" w:space="0" w:color="auto"/>
        <w:left w:val="none" w:sz="0" w:space="0" w:color="auto"/>
        <w:bottom w:val="none" w:sz="0" w:space="0" w:color="auto"/>
        <w:right w:val="none" w:sz="0" w:space="0" w:color="auto"/>
      </w:divBdr>
      <w:divsChild>
        <w:div w:id="286199234">
          <w:marLeft w:val="720"/>
          <w:marRight w:val="720"/>
          <w:marTop w:val="100"/>
          <w:marBottom w:val="100"/>
          <w:divBdr>
            <w:top w:val="none" w:sz="0" w:space="0" w:color="auto"/>
            <w:left w:val="none" w:sz="0" w:space="0" w:color="auto"/>
            <w:bottom w:val="none" w:sz="0" w:space="0" w:color="auto"/>
            <w:right w:val="none" w:sz="0" w:space="0" w:color="auto"/>
          </w:divBdr>
        </w:div>
      </w:divsChild>
    </w:div>
    <w:div w:id="286199249">
      <w:marLeft w:val="0"/>
      <w:marRight w:val="0"/>
      <w:marTop w:val="0"/>
      <w:marBottom w:val="0"/>
      <w:divBdr>
        <w:top w:val="none" w:sz="0" w:space="0" w:color="auto"/>
        <w:left w:val="none" w:sz="0" w:space="0" w:color="auto"/>
        <w:bottom w:val="none" w:sz="0" w:space="0" w:color="auto"/>
        <w:right w:val="none" w:sz="0" w:space="0" w:color="auto"/>
      </w:divBdr>
    </w:div>
    <w:div w:id="286199251">
      <w:marLeft w:val="0"/>
      <w:marRight w:val="0"/>
      <w:marTop w:val="0"/>
      <w:marBottom w:val="0"/>
      <w:divBdr>
        <w:top w:val="none" w:sz="0" w:space="0" w:color="auto"/>
        <w:left w:val="none" w:sz="0" w:space="0" w:color="auto"/>
        <w:bottom w:val="none" w:sz="0" w:space="0" w:color="auto"/>
        <w:right w:val="none" w:sz="0" w:space="0" w:color="auto"/>
      </w:divBdr>
    </w:div>
    <w:div w:id="286199252">
      <w:marLeft w:val="0"/>
      <w:marRight w:val="0"/>
      <w:marTop w:val="0"/>
      <w:marBottom w:val="0"/>
      <w:divBdr>
        <w:top w:val="none" w:sz="0" w:space="0" w:color="auto"/>
        <w:left w:val="none" w:sz="0" w:space="0" w:color="auto"/>
        <w:bottom w:val="none" w:sz="0" w:space="0" w:color="auto"/>
        <w:right w:val="none" w:sz="0" w:space="0" w:color="auto"/>
      </w:divBdr>
    </w:div>
    <w:div w:id="312635826">
      <w:bodyDiv w:val="1"/>
      <w:marLeft w:val="0"/>
      <w:marRight w:val="0"/>
      <w:marTop w:val="0"/>
      <w:marBottom w:val="0"/>
      <w:divBdr>
        <w:top w:val="none" w:sz="0" w:space="0" w:color="auto"/>
        <w:left w:val="none" w:sz="0" w:space="0" w:color="auto"/>
        <w:bottom w:val="none" w:sz="0" w:space="0" w:color="auto"/>
        <w:right w:val="none" w:sz="0" w:space="0" w:color="auto"/>
      </w:divBdr>
    </w:div>
    <w:div w:id="352390813">
      <w:bodyDiv w:val="1"/>
      <w:marLeft w:val="0"/>
      <w:marRight w:val="0"/>
      <w:marTop w:val="0"/>
      <w:marBottom w:val="0"/>
      <w:divBdr>
        <w:top w:val="none" w:sz="0" w:space="0" w:color="auto"/>
        <w:left w:val="none" w:sz="0" w:space="0" w:color="auto"/>
        <w:bottom w:val="none" w:sz="0" w:space="0" w:color="auto"/>
        <w:right w:val="none" w:sz="0" w:space="0" w:color="auto"/>
      </w:divBdr>
    </w:div>
    <w:div w:id="415789203">
      <w:bodyDiv w:val="1"/>
      <w:marLeft w:val="0"/>
      <w:marRight w:val="0"/>
      <w:marTop w:val="0"/>
      <w:marBottom w:val="0"/>
      <w:divBdr>
        <w:top w:val="none" w:sz="0" w:space="0" w:color="auto"/>
        <w:left w:val="none" w:sz="0" w:space="0" w:color="auto"/>
        <w:bottom w:val="none" w:sz="0" w:space="0" w:color="auto"/>
        <w:right w:val="none" w:sz="0" w:space="0" w:color="auto"/>
      </w:divBdr>
    </w:div>
    <w:div w:id="524174073">
      <w:bodyDiv w:val="1"/>
      <w:marLeft w:val="0"/>
      <w:marRight w:val="0"/>
      <w:marTop w:val="0"/>
      <w:marBottom w:val="0"/>
      <w:divBdr>
        <w:top w:val="none" w:sz="0" w:space="0" w:color="auto"/>
        <w:left w:val="none" w:sz="0" w:space="0" w:color="auto"/>
        <w:bottom w:val="none" w:sz="0" w:space="0" w:color="auto"/>
        <w:right w:val="none" w:sz="0" w:space="0" w:color="auto"/>
      </w:divBdr>
    </w:div>
    <w:div w:id="569727319">
      <w:bodyDiv w:val="1"/>
      <w:marLeft w:val="0"/>
      <w:marRight w:val="0"/>
      <w:marTop w:val="0"/>
      <w:marBottom w:val="0"/>
      <w:divBdr>
        <w:top w:val="none" w:sz="0" w:space="0" w:color="auto"/>
        <w:left w:val="none" w:sz="0" w:space="0" w:color="auto"/>
        <w:bottom w:val="none" w:sz="0" w:space="0" w:color="auto"/>
        <w:right w:val="none" w:sz="0" w:space="0" w:color="auto"/>
      </w:divBdr>
    </w:div>
    <w:div w:id="678166991">
      <w:bodyDiv w:val="1"/>
      <w:marLeft w:val="0"/>
      <w:marRight w:val="0"/>
      <w:marTop w:val="0"/>
      <w:marBottom w:val="0"/>
      <w:divBdr>
        <w:top w:val="none" w:sz="0" w:space="0" w:color="auto"/>
        <w:left w:val="none" w:sz="0" w:space="0" w:color="auto"/>
        <w:bottom w:val="none" w:sz="0" w:space="0" w:color="auto"/>
        <w:right w:val="none" w:sz="0" w:space="0" w:color="auto"/>
      </w:divBdr>
    </w:div>
    <w:div w:id="817960174">
      <w:bodyDiv w:val="1"/>
      <w:marLeft w:val="0"/>
      <w:marRight w:val="0"/>
      <w:marTop w:val="0"/>
      <w:marBottom w:val="0"/>
      <w:divBdr>
        <w:top w:val="none" w:sz="0" w:space="0" w:color="auto"/>
        <w:left w:val="none" w:sz="0" w:space="0" w:color="auto"/>
        <w:bottom w:val="none" w:sz="0" w:space="0" w:color="auto"/>
        <w:right w:val="none" w:sz="0" w:space="0" w:color="auto"/>
      </w:divBdr>
    </w:div>
    <w:div w:id="828248877">
      <w:bodyDiv w:val="1"/>
      <w:marLeft w:val="0"/>
      <w:marRight w:val="0"/>
      <w:marTop w:val="0"/>
      <w:marBottom w:val="0"/>
      <w:divBdr>
        <w:top w:val="none" w:sz="0" w:space="0" w:color="auto"/>
        <w:left w:val="none" w:sz="0" w:space="0" w:color="auto"/>
        <w:bottom w:val="none" w:sz="0" w:space="0" w:color="auto"/>
        <w:right w:val="none" w:sz="0" w:space="0" w:color="auto"/>
      </w:divBdr>
    </w:div>
    <w:div w:id="845561573">
      <w:bodyDiv w:val="1"/>
      <w:marLeft w:val="0"/>
      <w:marRight w:val="0"/>
      <w:marTop w:val="0"/>
      <w:marBottom w:val="0"/>
      <w:divBdr>
        <w:top w:val="none" w:sz="0" w:space="0" w:color="auto"/>
        <w:left w:val="none" w:sz="0" w:space="0" w:color="auto"/>
        <w:bottom w:val="none" w:sz="0" w:space="0" w:color="auto"/>
        <w:right w:val="none" w:sz="0" w:space="0" w:color="auto"/>
      </w:divBdr>
    </w:div>
    <w:div w:id="876040311">
      <w:bodyDiv w:val="1"/>
      <w:marLeft w:val="0"/>
      <w:marRight w:val="0"/>
      <w:marTop w:val="0"/>
      <w:marBottom w:val="0"/>
      <w:divBdr>
        <w:top w:val="none" w:sz="0" w:space="0" w:color="auto"/>
        <w:left w:val="none" w:sz="0" w:space="0" w:color="auto"/>
        <w:bottom w:val="none" w:sz="0" w:space="0" w:color="auto"/>
        <w:right w:val="none" w:sz="0" w:space="0" w:color="auto"/>
      </w:divBdr>
      <w:divsChild>
        <w:div w:id="1934707755">
          <w:marLeft w:val="0"/>
          <w:marRight w:val="0"/>
          <w:marTop w:val="0"/>
          <w:marBottom w:val="0"/>
          <w:divBdr>
            <w:top w:val="none" w:sz="0" w:space="0" w:color="auto"/>
            <w:left w:val="none" w:sz="0" w:space="0" w:color="auto"/>
            <w:bottom w:val="none" w:sz="0" w:space="0" w:color="auto"/>
            <w:right w:val="none" w:sz="0" w:space="0" w:color="auto"/>
          </w:divBdr>
          <w:divsChild>
            <w:div w:id="338969421">
              <w:marLeft w:val="0"/>
              <w:marRight w:val="0"/>
              <w:marTop w:val="0"/>
              <w:marBottom w:val="0"/>
              <w:divBdr>
                <w:top w:val="none" w:sz="0" w:space="0" w:color="auto"/>
                <w:left w:val="none" w:sz="0" w:space="0" w:color="auto"/>
                <w:bottom w:val="none" w:sz="0" w:space="0" w:color="auto"/>
                <w:right w:val="none" w:sz="0" w:space="0" w:color="auto"/>
              </w:divBdr>
              <w:divsChild>
                <w:div w:id="6447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43655">
      <w:bodyDiv w:val="1"/>
      <w:marLeft w:val="0"/>
      <w:marRight w:val="0"/>
      <w:marTop w:val="0"/>
      <w:marBottom w:val="0"/>
      <w:divBdr>
        <w:top w:val="none" w:sz="0" w:space="0" w:color="auto"/>
        <w:left w:val="none" w:sz="0" w:space="0" w:color="auto"/>
        <w:bottom w:val="none" w:sz="0" w:space="0" w:color="auto"/>
        <w:right w:val="none" w:sz="0" w:space="0" w:color="auto"/>
      </w:divBdr>
    </w:div>
    <w:div w:id="943391107">
      <w:bodyDiv w:val="1"/>
      <w:marLeft w:val="0"/>
      <w:marRight w:val="0"/>
      <w:marTop w:val="0"/>
      <w:marBottom w:val="0"/>
      <w:divBdr>
        <w:top w:val="none" w:sz="0" w:space="0" w:color="auto"/>
        <w:left w:val="none" w:sz="0" w:space="0" w:color="auto"/>
        <w:bottom w:val="none" w:sz="0" w:space="0" w:color="auto"/>
        <w:right w:val="none" w:sz="0" w:space="0" w:color="auto"/>
      </w:divBdr>
    </w:div>
    <w:div w:id="983700051">
      <w:bodyDiv w:val="1"/>
      <w:marLeft w:val="0"/>
      <w:marRight w:val="0"/>
      <w:marTop w:val="0"/>
      <w:marBottom w:val="0"/>
      <w:divBdr>
        <w:top w:val="none" w:sz="0" w:space="0" w:color="auto"/>
        <w:left w:val="none" w:sz="0" w:space="0" w:color="auto"/>
        <w:bottom w:val="none" w:sz="0" w:space="0" w:color="auto"/>
        <w:right w:val="none" w:sz="0" w:space="0" w:color="auto"/>
      </w:divBdr>
    </w:div>
    <w:div w:id="1212769726">
      <w:bodyDiv w:val="1"/>
      <w:marLeft w:val="0"/>
      <w:marRight w:val="0"/>
      <w:marTop w:val="0"/>
      <w:marBottom w:val="0"/>
      <w:divBdr>
        <w:top w:val="none" w:sz="0" w:space="0" w:color="auto"/>
        <w:left w:val="none" w:sz="0" w:space="0" w:color="auto"/>
        <w:bottom w:val="none" w:sz="0" w:space="0" w:color="auto"/>
        <w:right w:val="none" w:sz="0" w:space="0" w:color="auto"/>
      </w:divBdr>
    </w:div>
    <w:div w:id="1289702399">
      <w:bodyDiv w:val="1"/>
      <w:marLeft w:val="0"/>
      <w:marRight w:val="0"/>
      <w:marTop w:val="0"/>
      <w:marBottom w:val="0"/>
      <w:divBdr>
        <w:top w:val="none" w:sz="0" w:space="0" w:color="auto"/>
        <w:left w:val="none" w:sz="0" w:space="0" w:color="auto"/>
        <w:bottom w:val="none" w:sz="0" w:space="0" w:color="auto"/>
        <w:right w:val="none" w:sz="0" w:space="0" w:color="auto"/>
      </w:divBdr>
    </w:div>
    <w:div w:id="1399086634">
      <w:bodyDiv w:val="1"/>
      <w:marLeft w:val="0"/>
      <w:marRight w:val="0"/>
      <w:marTop w:val="0"/>
      <w:marBottom w:val="0"/>
      <w:divBdr>
        <w:top w:val="none" w:sz="0" w:space="0" w:color="auto"/>
        <w:left w:val="none" w:sz="0" w:space="0" w:color="auto"/>
        <w:bottom w:val="none" w:sz="0" w:space="0" w:color="auto"/>
        <w:right w:val="none" w:sz="0" w:space="0" w:color="auto"/>
      </w:divBdr>
    </w:div>
    <w:div w:id="1494637926">
      <w:bodyDiv w:val="1"/>
      <w:marLeft w:val="0"/>
      <w:marRight w:val="0"/>
      <w:marTop w:val="0"/>
      <w:marBottom w:val="0"/>
      <w:divBdr>
        <w:top w:val="none" w:sz="0" w:space="0" w:color="auto"/>
        <w:left w:val="none" w:sz="0" w:space="0" w:color="auto"/>
        <w:bottom w:val="none" w:sz="0" w:space="0" w:color="auto"/>
        <w:right w:val="none" w:sz="0" w:space="0" w:color="auto"/>
      </w:divBdr>
    </w:div>
    <w:div w:id="1625191485">
      <w:bodyDiv w:val="1"/>
      <w:marLeft w:val="0"/>
      <w:marRight w:val="0"/>
      <w:marTop w:val="0"/>
      <w:marBottom w:val="0"/>
      <w:divBdr>
        <w:top w:val="none" w:sz="0" w:space="0" w:color="auto"/>
        <w:left w:val="none" w:sz="0" w:space="0" w:color="auto"/>
        <w:bottom w:val="none" w:sz="0" w:space="0" w:color="auto"/>
        <w:right w:val="none" w:sz="0" w:space="0" w:color="auto"/>
      </w:divBdr>
    </w:div>
    <w:div w:id="1656252095">
      <w:bodyDiv w:val="1"/>
      <w:marLeft w:val="0"/>
      <w:marRight w:val="0"/>
      <w:marTop w:val="0"/>
      <w:marBottom w:val="0"/>
      <w:divBdr>
        <w:top w:val="none" w:sz="0" w:space="0" w:color="auto"/>
        <w:left w:val="none" w:sz="0" w:space="0" w:color="auto"/>
        <w:bottom w:val="none" w:sz="0" w:space="0" w:color="auto"/>
        <w:right w:val="none" w:sz="0" w:space="0" w:color="auto"/>
      </w:divBdr>
    </w:div>
    <w:div w:id="1751582020">
      <w:bodyDiv w:val="1"/>
      <w:marLeft w:val="0"/>
      <w:marRight w:val="0"/>
      <w:marTop w:val="0"/>
      <w:marBottom w:val="0"/>
      <w:divBdr>
        <w:top w:val="none" w:sz="0" w:space="0" w:color="auto"/>
        <w:left w:val="none" w:sz="0" w:space="0" w:color="auto"/>
        <w:bottom w:val="none" w:sz="0" w:space="0" w:color="auto"/>
        <w:right w:val="none" w:sz="0" w:space="0" w:color="auto"/>
      </w:divBdr>
    </w:div>
    <w:div w:id="1773817516">
      <w:bodyDiv w:val="1"/>
      <w:marLeft w:val="0"/>
      <w:marRight w:val="0"/>
      <w:marTop w:val="0"/>
      <w:marBottom w:val="0"/>
      <w:divBdr>
        <w:top w:val="none" w:sz="0" w:space="0" w:color="auto"/>
        <w:left w:val="none" w:sz="0" w:space="0" w:color="auto"/>
        <w:bottom w:val="none" w:sz="0" w:space="0" w:color="auto"/>
        <w:right w:val="none" w:sz="0" w:space="0" w:color="auto"/>
      </w:divBdr>
    </w:div>
    <w:div w:id="1798596850">
      <w:bodyDiv w:val="1"/>
      <w:marLeft w:val="0"/>
      <w:marRight w:val="0"/>
      <w:marTop w:val="0"/>
      <w:marBottom w:val="0"/>
      <w:divBdr>
        <w:top w:val="none" w:sz="0" w:space="0" w:color="auto"/>
        <w:left w:val="none" w:sz="0" w:space="0" w:color="auto"/>
        <w:bottom w:val="none" w:sz="0" w:space="0" w:color="auto"/>
        <w:right w:val="none" w:sz="0" w:space="0" w:color="auto"/>
      </w:divBdr>
    </w:div>
    <w:div w:id="18004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Miller%20M%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Schmitt%20D%22%5BAuthor%5D&amp;itool=EntrezSystem2.PEntrez.Pubmed.Pubmed_ResultsPanel.Pubmed_DiscoveryPanel.Pubmed_RVAbstractPlus" TargetMode="External"/><Relationship Id="rId26" Type="http://schemas.openxmlformats.org/officeDocument/2006/relationships/hyperlink" Target="https://pubmed.ncbi.nlm.nih.gov/?term=Allix+C&amp;cauthor_id=17005759" TargetMode="External"/><Relationship Id="rId21" Type="http://schemas.openxmlformats.org/officeDocument/2006/relationships/hyperlink" Target="http://www.ncbi.nlm.nih.gov/sites/entrez?Db=pubmed&amp;Cmd=Search&amp;Term=%22Harris%20B%22%5BAuthor%5D&amp;itool=EntrezSystem2.PEntrez.Pubmed.Pubmed_ResultsPanel.Pubmed_DiscoveryPanel.Pubmed_RVAbstractPlu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cbi.nlm.nih.gov/sites/entrez?Db=pubmed&amp;Cmd=Search&amp;Term=%22Esfandiari%20J%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Dumonceaux%20G%22%5BAuthor%5D&amp;itool=EntrezSystem2.PEntrez.Pubmed.Pubmed_ResultsPanel.Pubmed_DiscoveryPanel.Pubmed_RVAbstractPlus" TargetMode="External"/><Relationship Id="rId25" Type="http://schemas.openxmlformats.org/officeDocument/2006/relationships/hyperlink" Target="https://pubmed.ncbi.nlm.nih.gov/?term=Supply+P&amp;cauthor_id=1700575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sites/entrez?Db=pubmed&amp;Cmd=Search&amp;Term=%22Ball%20R%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Payeur%20JB%22%5BAuthor%5D&amp;itool=EntrezSystem2.PEntrez.Pubmed.Pubmed_ResultsPanel.Pubmed_DiscoveryPanel.Pubmed_RVAbstractPlus" TargetMode="External"/><Relationship Id="rId29" Type="http://schemas.openxmlformats.org/officeDocument/2006/relationships/hyperlink" Target="http://www.oie.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sites/entrez?Db=pubmed&amp;Cmd=Search&amp;Term=%22Lyashchenko%20O%22%5BAuthor%5D&amp;itool=EntrezSystem2.PEntrez.Pubmed.Pubmed_ResultsPanel.Pubmed_DiscoveryPanel.Pubmed_RVAbstractPlus" TargetMode="External"/><Relationship Id="rId24" Type="http://schemas.openxmlformats.org/officeDocument/2006/relationships/hyperlink" Target="http://www.ncbi.nlm.nih.gov/sites/entrez?Db=pubmed&amp;Cmd=Search&amp;Term=%22Lyashchenko%20KP%22%5BAuthor%5D&amp;itool=EntrezSystem2.PEntrez.Pubmed.Pubmed_ResultsPanel.Pubmed_DiscoveryPanel.Pubmed_RVAbstractPlu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sites/entrez?Db=pubmed&amp;Cmd=Search&amp;Term=%22Olsen%20JH%22%5BAuthor%5D&amp;itool=EntrezSystem2.PEntrez.Pubmed.Pubmed_ResultsPanel.Pubmed_DiscoveryPanel.Pubmed_RVAbstractPlus" TargetMode="External"/><Relationship Id="rId23" Type="http://schemas.openxmlformats.org/officeDocument/2006/relationships/hyperlink" Target="http://www.ncbi.nlm.nih.gov/sites/entrez?Db=pubmed&amp;Cmd=Search&amp;Term=%22Waters%20WR%22%5BAuthor%5D&amp;itool=EntrezSystem2.PEntrez.Pubmed.Pubmed_ResultsPanel.Pubmed_DiscoveryPanel.Pubmed_RVAbstractPlus" TargetMode="External"/><Relationship Id="rId28" Type="http://schemas.openxmlformats.org/officeDocument/2006/relationships/hyperlink" Target="https://www.oie.int/en/what-we-offer/expertise-network/reference-laboratories/" TargetMode="External"/><Relationship Id="rId36" Type="http://schemas.openxmlformats.org/officeDocument/2006/relationships/fontTable" Target="fontTable.xml"/><Relationship Id="rId10" Type="http://schemas.openxmlformats.org/officeDocument/2006/relationships/hyperlink" Target="https://doi.org/10.7287/peerj.preprints.1703v1" TargetMode="External"/><Relationship Id="rId19" Type="http://schemas.openxmlformats.org/officeDocument/2006/relationships/hyperlink" Target="http://www.ncbi.nlm.nih.gov/sites/entrez?Db=pubmed&amp;Cmd=Search&amp;Term=%22Moller%20T%22%5BAuthor%5D&amp;itool=EntrezSystem2.PEntrez.Pubmed.Pubmed_ResultsPanel.Pubmed_DiscoveryPanel.Pubmed_RVAbstractPlu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cbi.nlm.nih.gov/pubmed/23251352" TargetMode="External"/><Relationship Id="rId14" Type="http://schemas.openxmlformats.org/officeDocument/2006/relationships/hyperlink" Target="http://www.ncbi.nlm.nih.gov/sites/entrez?Db=pubmed&amp;Cmd=Search&amp;Term=%22Mikota%20S%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Sofranko%20D%22%5BAuthor%5D&amp;itool=EntrezSystem2.PEntrez.Pubmed.Pubmed_ResultsPanel.Pubmed_DiscoveryPanel.Pubmed_RVAbstractPlus" TargetMode="External"/><Relationship Id="rId27" Type="http://schemas.openxmlformats.org/officeDocument/2006/relationships/hyperlink" Target="https://pubmed.ncbi.nlm.nih.gov/?term=Lesjean+S&amp;cauthor_id=17005759"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pasteur-guadeloupe.fr:8081/SITVIT2/index.jsp" TargetMode="External"/><Relationship Id="rId2" Type="http://schemas.openxmlformats.org/officeDocument/2006/relationships/hyperlink" Target="http://www.mbovis.org" TargetMode="External"/><Relationship Id="rId1" Type="http://schemas.openxmlformats.org/officeDocument/2006/relationships/hyperlink" Target="http://www.oie.int/en/animal-health-in-the-world/the-world-animal-health-information-system/the-world-animal-health-information-system/" TargetMode="External"/><Relationship Id="rId4" Type="http://schemas.openxmlformats.org/officeDocument/2006/relationships/hyperlink" Target="https://www.oie.int/en/what-we-offer/veterinary-products/diagnostic-kits/the-register-of-diagnostic-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6A49-6116-5E45-A5EC-9C061474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14050</Words>
  <Characters>80088</Characters>
  <Application>Microsoft Office Word</Application>
  <DocSecurity>4</DocSecurity>
  <Lines>667</Lines>
  <Paragraphs>187</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Título</vt:lpstr>
      </vt:variant>
      <vt:variant>
        <vt:i4>1</vt:i4>
      </vt:variant>
    </vt:vector>
  </HeadingPairs>
  <TitlesOfParts>
    <vt:vector size="4" baseType="lpstr">
      <vt:lpstr>Mammalian TB</vt:lpstr>
      <vt:lpstr>Mammalian TB</vt:lpstr>
      <vt:lpstr>Mammalian TB</vt:lpstr>
      <vt:lpstr>Mammalian TB</vt:lpstr>
    </vt:vector>
  </TitlesOfParts>
  <Company>Microsoft</Company>
  <LinksUpToDate>false</LinksUpToDate>
  <CharactersWithSpaces>93951</CharactersWithSpaces>
  <SharedDoc>false</SharedDoc>
  <HLinks>
    <vt:vector size="150" baseType="variant">
      <vt:variant>
        <vt:i4>3932281</vt:i4>
      </vt:variant>
      <vt:variant>
        <vt:i4>60</vt:i4>
      </vt:variant>
      <vt:variant>
        <vt:i4>0</vt:i4>
      </vt:variant>
      <vt:variant>
        <vt:i4>5</vt:i4>
      </vt:variant>
      <vt:variant>
        <vt:lpwstr>http://www.oie.int/</vt:lpwstr>
      </vt:variant>
      <vt:variant>
        <vt:lpwstr/>
      </vt:variant>
      <vt:variant>
        <vt:i4>2</vt:i4>
      </vt:variant>
      <vt:variant>
        <vt:i4>57</vt:i4>
      </vt:variant>
      <vt:variant>
        <vt:i4>0</vt:i4>
      </vt:variant>
      <vt:variant>
        <vt:i4>5</vt:i4>
      </vt:variant>
      <vt:variant>
        <vt:lpwstr>https://www.oie.int/en/what-we-offer/expertise-network/reference-laboratories/</vt:lpwstr>
      </vt:variant>
      <vt:variant>
        <vt:lpwstr>ui-id-3</vt:lpwstr>
      </vt:variant>
      <vt:variant>
        <vt:i4>1179711</vt:i4>
      </vt:variant>
      <vt:variant>
        <vt:i4>54</vt:i4>
      </vt:variant>
      <vt:variant>
        <vt:i4>0</vt:i4>
      </vt:variant>
      <vt:variant>
        <vt:i4>5</vt:i4>
      </vt:variant>
      <vt:variant>
        <vt:lpwstr>https://pubmed.ncbi.nlm.nih.gov/?term=Lesjean+S&amp;cauthor_id=17005759</vt:lpwstr>
      </vt:variant>
      <vt:variant>
        <vt:lpwstr/>
      </vt:variant>
      <vt:variant>
        <vt:i4>7929934</vt:i4>
      </vt:variant>
      <vt:variant>
        <vt:i4>51</vt:i4>
      </vt:variant>
      <vt:variant>
        <vt:i4>0</vt:i4>
      </vt:variant>
      <vt:variant>
        <vt:i4>5</vt:i4>
      </vt:variant>
      <vt:variant>
        <vt:lpwstr>https://pubmed.ncbi.nlm.nih.gov/?term=Allix+C&amp;cauthor_id=17005759</vt:lpwstr>
      </vt:variant>
      <vt:variant>
        <vt:lpwstr/>
      </vt:variant>
      <vt:variant>
        <vt:i4>7077906</vt:i4>
      </vt:variant>
      <vt:variant>
        <vt:i4>48</vt:i4>
      </vt:variant>
      <vt:variant>
        <vt:i4>0</vt:i4>
      </vt:variant>
      <vt:variant>
        <vt:i4>5</vt:i4>
      </vt:variant>
      <vt:variant>
        <vt:lpwstr>https://pubmed.ncbi.nlm.nih.gov/?term=Supply+P&amp;cauthor_id=17005759</vt:lpwstr>
      </vt:variant>
      <vt:variant>
        <vt:lpwstr/>
      </vt:variant>
      <vt:variant>
        <vt:i4>6815836</vt:i4>
      </vt:variant>
      <vt:variant>
        <vt:i4>45</vt:i4>
      </vt:variant>
      <vt:variant>
        <vt:i4>0</vt:i4>
      </vt:variant>
      <vt:variant>
        <vt:i4>5</vt:i4>
      </vt:variant>
      <vt:variant>
        <vt:lpwstr>http://www.ncbi.nlm.nih.gov/sites/entrez?Db=pubmed&amp;Cmd=Search&amp;Term=%22Lyashchenko%20KP%22%5BAuthor%5D&amp;itool=EntrezSystem2.PEntrez.Pubmed.Pubmed_ResultsPanel.Pubmed_DiscoveryPanel.Pubmed_RVAbstractPlus</vt:lpwstr>
      </vt:variant>
      <vt:variant>
        <vt:lpwstr/>
      </vt:variant>
      <vt:variant>
        <vt:i4>3932168</vt:i4>
      </vt:variant>
      <vt:variant>
        <vt:i4>42</vt:i4>
      </vt:variant>
      <vt:variant>
        <vt:i4>0</vt:i4>
      </vt:variant>
      <vt:variant>
        <vt:i4>5</vt:i4>
      </vt:variant>
      <vt:variant>
        <vt:lpwstr>http://www.ncbi.nlm.nih.gov/sites/entrez?Db=pubmed&amp;Cmd=Search&amp;Term=%22Waters%20WR%22%5BAuthor%5D&amp;itool=EntrezSystem2.PEntrez.Pubmed.Pubmed_ResultsPanel.Pubmed_DiscoveryPanel.Pubmed_RVAbstractPlus</vt:lpwstr>
      </vt:variant>
      <vt:variant>
        <vt:lpwstr/>
      </vt:variant>
      <vt:variant>
        <vt:i4>2097155</vt:i4>
      </vt:variant>
      <vt:variant>
        <vt:i4>39</vt:i4>
      </vt:variant>
      <vt:variant>
        <vt:i4>0</vt:i4>
      </vt:variant>
      <vt:variant>
        <vt:i4>5</vt:i4>
      </vt:variant>
      <vt:variant>
        <vt:lpwstr>http://www.ncbi.nlm.nih.gov/sites/entrez?Db=pubmed&amp;Cmd=Search&amp;Term=%22Sofranko%20D%22%5BAuthor%5D&amp;itool=EntrezSystem2.PEntrez.Pubmed.Pubmed_ResultsPanel.Pubmed_DiscoveryPanel.Pubmed_RVAbstractPlus</vt:lpwstr>
      </vt:variant>
      <vt:variant>
        <vt:lpwstr/>
      </vt:variant>
      <vt:variant>
        <vt:i4>5898351</vt:i4>
      </vt:variant>
      <vt:variant>
        <vt:i4>36</vt:i4>
      </vt:variant>
      <vt:variant>
        <vt:i4>0</vt:i4>
      </vt:variant>
      <vt:variant>
        <vt:i4>5</vt:i4>
      </vt:variant>
      <vt:variant>
        <vt:lpwstr>http://www.ncbi.nlm.nih.gov/sites/entrez?Db=pubmed&amp;Cmd=Search&amp;Term=%22Harris%20B%22%5BAuthor%5D&amp;itool=EntrezSystem2.PEntrez.Pubmed.Pubmed_ResultsPanel.Pubmed_DiscoveryPanel.Pubmed_RVAbstractPlus</vt:lpwstr>
      </vt:variant>
      <vt:variant>
        <vt:lpwstr/>
      </vt:variant>
      <vt:variant>
        <vt:i4>2097173</vt:i4>
      </vt:variant>
      <vt:variant>
        <vt:i4>33</vt:i4>
      </vt:variant>
      <vt:variant>
        <vt:i4>0</vt:i4>
      </vt:variant>
      <vt:variant>
        <vt:i4>5</vt:i4>
      </vt:variant>
      <vt:variant>
        <vt:lpwstr>http://www.ncbi.nlm.nih.gov/sites/entrez?Db=pubmed&amp;Cmd=Search&amp;Term=%22Payeur%20JB%22%5BAuthor%5D&amp;itool=EntrezSystem2.PEntrez.Pubmed.Pubmed_ResultsPanel.Pubmed_DiscoveryPanel.Pubmed_RVAbstractPlus</vt:lpwstr>
      </vt:variant>
      <vt:variant>
        <vt:lpwstr/>
      </vt:variant>
      <vt:variant>
        <vt:i4>6094968</vt:i4>
      </vt:variant>
      <vt:variant>
        <vt:i4>30</vt:i4>
      </vt:variant>
      <vt:variant>
        <vt:i4>0</vt:i4>
      </vt:variant>
      <vt:variant>
        <vt:i4>5</vt:i4>
      </vt:variant>
      <vt:variant>
        <vt:lpwstr>http://www.ncbi.nlm.nih.gov/sites/entrez?Db=pubmed&amp;Cmd=Search&amp;Term=%22Moller%20T%22%5BAuthor%5D&amp;itool=EntrezSystem2.PEntrez.Pubmed.Pubmed_ResultsPanel.Pubmed_DiscoveryPanel.Pubmed_RVAbstractPlus</vt:lpwstr>
      </vt:variant>
      <vt:variant>
        <vt:lpwstr/>
      </vt:variant>
      <vt:variant>
        <vt:i4>6357070</vt:i4>
      </vt:variant>
      <vt:variant>
        <vt:i4>27</vt:i4>
      </vt:variant>
      <vt:variant>
        <vt:i4>0</vt:i4>
      </vt:variant>
      <vt:variant>
        <vt:i4>5</vt:i4>
      </vt:variant>
      <vt:variant>
        <vt:lpwstr>http://www.ncbi.nlm.nih.gov/sites/entrez?Db=pubmed&amp;Cmd=Search&amp;Term=%22Schmitt%20D%22%5BAuthor%5D&amp;itool=EntrezSystem2.PEntrez.Pubmed.Pubmed_ResultsPanel.Pubmed_DiscoveryPanel.Pubmed_RVAbstractPlus</vt:lpwstr>
      </vt:variant>
      <vt:variant>
        <vt:lpwstr/>
      </vt:variant>
      <vt:variant>
        <vt:i4>6226027</vt:i4>
      </vt:variant>
      <vt:variant>
        <vt:i4>24</vt:i4>
      </vt:variant>
      <vt:variant>
        <vt:i4>0</vt:i4>
      </vt:variant>
      <vt:variant>
        <vt:i4>5</vt:i4>
      </vt:variant>
      <vt:variant>
        <vt:lpwstr>http://www.ncbi.nlm.nih.gov/sites/entrez?Db=pubmed&amp;Cmd=Search&amp;Term=%22Dumonceaux%20G%22%5BAuthor%5D&amp;itool=EntrezSystem2.PEntrez.Pubmed.Pubmed_ResultsPanel.Pubmed_DiscoveryPanel.Pubmed_RVAbstractPlus</vt:lpwstr>
      </vt:variant>
      <vt:variant>
        <vt:lpwstr/>
      </vt:variant>
      <vt:variant>
        <vt:i4>2555922</vt:i4>
      </vt:variant>
      <vt:variant>
        <vt:i4>21</vt:i4>
      </vt:variant>
      <vt:variant>
        <vt:i4>0</vt:i4>
      </vt:variant>
      <vt:variant>
        <vt:i4>5</vt:i4>
      </vt:variant>
      <vt:variant>
        <vt:lpwstr>http://www.ncbi.nlm.nih.gov/sites/entrez?Db=pubmed&amp;Cmd=Search&amp;Term=%22Ball%20R%22%5BAuthor%5D&amp;itool=EntrezSystem2.PEntrez.Pubmed.Pubmed_ResultsPanel.Pubmed_DiscoveryPanel.Pubmed_RVAbstractPlus</vt:lpwstr>
      </vt:variant>
      <vt:variant>
        <vt:lpwstr/>
      </vt:variant>
      <vt:variant>
        <vt:i4>1966115</vt:i4>
      </vt:variant>
      <vt:variant>
        <vt:i4>18</vt:i4>
      </vt:variant>
      <vt:variant>
        <vt:i4>0</vt:i4>
      </vt:variant>
      <vt:variant>
        <vt:i4>5</vt:i4>
      </vt:variant>
      <vt:variant>
        <vt:lpwstr>http://www.ncbi.nlm.nih.gov/sites/entrez?Db=pubmed&amp;Cmd=Search&amp;Term=%22Olsen%20JH%22%5BAuthor%5D&amp;itool=EntrezSystem2.PEntrez.Pubmed.Pubmed_ResultsPanel.Pubmed_DiscoveryPanel.Pubmed_RVAbstractPlus</vt:lpwstr>
      </vt:variant>
      <vt:variant>
        <vt:lpwstr/>
      </vt:variant>
      <vt:variant>
        <vt:i4>4980846</vt:i4>
      </vt:variant>
      <vt:variant>
        <vt:i4>15</vt:i4>
      </vt:variant>
      <vt:variant>
        <vt:i4>0</vt:i4>
      </vt:variant>
      <vt:variant>
        <vt:i4>5</vt:i4>
      </vt:variant>
      <vt:variant>
        <vt:lpwstr>http://www.ncbi.nlm.nih.gov/sites/entrez?Db=pubmed&amp;Cmd=Search&amp;Term=%22Mikota%20S%22%5BAuthor%5D&amp;itool=EntrezSystem2.PEntrez.Pubmed.Pubmed_ResultsPanel.Pubmed_DiscoveryPanel.Pubmed_RVAbstractPlus</vt:lpwstr>
      </vt:variant>
      <vt:variant>
        <vt:lpwstr/>
      </vt:variant>
      <vt:variant>
        <vt:i4>4325496</vt:i4>
      </vt:variant>
      <vt:variant>
        <vt:i4>12</vt:i4>
      </vt:variant>
      <vt:variant>
        <vt:i4>0</vt:i4>
      </vt:variant>
      <vt:variant>
        <vt:i4>5</vt:i4>
      </vt:variant>
      <vt:variant>
        <vt:lpwstr>http://www.ncbi.nlm.nih.gov/sites/entrez?Db=pubmed&amp;Cmd=Search&amp;Term=%22Miller%20M%22%5BAuthor%5D&amp;itool=EntrezSystem2.PEntrez.Pubmed.Pubmed_ResultsPanel.Pubmed_DiscoveryPanel.Pubmed_RVAbstractPlus</vt:lpwstr>
      </vt:variant>
      <vt:variant>
        <vt:lpwstr/>
      </vt:variant>
      <vt:variant>
        <vt:i4>4980842</vt:i4>
      </vt:variant>
      <vt:variant>
        <vt:i4>9</vt:i4>
      </vt:variant>
      <vt:variant>
        <vt:i4>0</vt:i4>
      </vt:variant>
      <vt:variant>
        <vt:i4>5</vt:i4>
      </vt:variant>
      <vt:variant>
        <vt:lpwstr>http://www.ncbi.nlm.nih.gov/sites/entrez?Db=pubmed&amp;Cmd=Search&amp;Term=%22Esfandiari%20J%22%5BAuthor%5D&amp;itool=EntrezSystem2.PEntrez.Pubmed.Pubmed_ResultsPanel.Pubmed_DiscoveryPanel.Pubmed_RVAbstractPlus</vt:lpwstr>
      </vt:variant>
      <vt:variant>
        <vt:lpwstr/>
      </vt:variant>
      <vt:variant>
        <vt:i4>8126543</vt:i4>
      </vt:variant>
      <vt:variant>
        <vt:i4>6</vt:i4>
      </vt:variant>
      <vt:variant>
        <vt:i4>0</vt:i4>
      </vt:variant>
      <vt:variant>
        <vt:i4>5</vt:i4>
      </vt:variant>
      <vt:variant>
        <vt:lpwstr>http://www.ncbi.nlm.nih.gov/sites/entrez?Db=pubmed&amp;Cmd=Search&amp;Term=%22Lyashchenko%20O%22%5BAuthor%5D&amp;itool=EntrezSystem2.PEntrez.Pubmed.Pubmed_ResultsPanel.Pubmed_DiscoveryPanel.Pubmed_RVAbstractPlus</vt:lpwstr>
      </vt:variant>
      <vt:variant>
        <vt:lpwstr/>
      </vt:variant>
      <vt:variant>
        <vt:i4>2097197</vt:i4>
      </vt:variant>
      <vt:variant>
        <vt:i4>3</vt:i4>
      </vt:variant>
      <vt:variant>
        <vt:i4>0</vt:i4>
      </vt:variant>
      <vt:variant>
        <vt:i4>5</vt:i4>
      </vt:variant>
      <vt:variant>
        <vt:lpwstr>https://doi.org/10.7287/peerj.preprints.1703v1</vt:lpwstr>
      </vt:variant>
      <vt:variant>
        <vt:lpwstr/>
      </vt:variant>
      <vt:variant>
        <vt:i4>3407907</vt:i4>
      </vt:variant>
      <vt:variant>
        <vt:i4>0</vt:i4>
      </vt:variant>
      <vt:variant>
        <vt:i4>0</vt:i4>
      </vt:variant>
      <vt:variant>
        <vt:i4>5</vt:i4>
      </vt:variant>
      <vt:variant>
        <vt:lpwstr>http://www.ncbi.nlm.nih.gov/pubmed/23251352</vt:lpwstr>
      </vt:variant>
      <vt:variant>
        <vt:lpwstr/>
      </vt:variant>
      <vt:variant>
        <vt:i4>1769493</vt:i4>
      </vt:variant>
      <vt:variant>
        <vt:i4>9</vt:i4>
      </vt:variant>
      <vt:variant>
        <vt:i4>0</vt:i4>
      </vt:variant>
      <vt:variant>
        <vt:i4>5</vt:i4>
      </vt:variant>
      <vt:variant>
        <vt:lpwstr>https://www.oie.int/en/what-we-offer/veterinary-products/diagnostic-kits/the-register-of-diagnostic-kits/</vt:lpwstr>
      </vt:variant>
      <vt:variant>
        <vt:lpwstr/>
      </vt:variant>
      <vt:variant>
        <vt:i4>2228334</vt:i4>
      </vt:variant>
      <vt:variant>
        <vt:i4>6</vt:i4>
      </vt:variant>
      <vt:variant>
        <vt:i4>0</vt:i4>
      </vt:variant>
      <vt:variant>
        <vt:i4>5</vt:i4>
      </vt:variant>
      <vt:variant>
        <vt:lpwstr>http://www.pasteur-guadeloupe.fr:8081/SITVIT2/index.jsp</vt:lpwstr>
      </vt:variant>
      <vt:variant>
        <vt:lpwstr/>
      </vt:variant>
      <vt:variant>
        <vt:i4>3342399</vt:i4>
      </vt:variant>
      <vt:variant>
        <vt:i4>3</vt:i4>
      </vt:variant>
      <vt:variant>
        <vt:i4>0</vt:i4>
      </vt:variant>
      <vt:variant>
        <vt:i4>5</vt:i4>
      </vt:variant>
      <vt:variant>
        <vt:lpwstr>http://www.mbovis.org/</vt:lpwstr>
      </vt:variant>
      <vt:variant>
        <vt:lpwstr/>
      </vt:variant>
      <vt:variant>
        <vt:i4>3997813</vt:i4>
      </vt:variant>
      <vt:variant>
        <vt:i4>0</vt:i4>
      </vt:variant>
      <vt:variant>
        <vt:i4>0</vt:i4>
      </vt:variant>
      <vt:variant>
        <vt:i4>5</vt:i4>
      </vt:variant>
      <vt:variant>
        <vt:lpwstr>http://www.oie.int/en/animal-health-in-the-world/the-world-animal-health-information-system/the-world-animal-health-information-system/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Mammalian TB</dc:title>
  <dc:subject>arial/trait</dc:subject>
  <dc:creator>sara</dc:creator>
  <cp:keywords/>
  <dc:description/>
  <cp:lastModifiedBy>Egrie, Paul G - APHIS</cp:lastModifiedBy>
  <cp:revision>2</cp:revision>
  <cp:lastPrinted>2021-06-01T17:34:00Z</cp:lastPrinted>
  <dcterms:created xsi:type="dcterms:W3CDTF">2022-03-21T16:57:00Z</dcterms:created>
  <dcterms:modified xsi:type="dcterms:W3CDTF">2022-03-21T16:57:00Z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0x01010039F193C365FA6D4EBBF469CF1488E5E3</vt:lpwstr>
  </property>
</Properties>
</file>