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C4FF" w14:textId="77777777" w:rsidR="00EF6899" w:rsidRPr="007C5C2E" w:rsidRDefault="00EF6899" w:rsidP="00EF6899">
      <w:pPr>
        <w:pBdr>
          <w:bottom w:val="single" w:sz="6" w:space="6" w:color="auto"/>
        </w:pBdr>
        <w:spacing w:after="480" w:line="240" w:lineRule="auto"/>
        <w:jc w:val="center"/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</w:pPr>
      <w:r w:rsidRPr="007C5C2E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t>Section 2.3.</w:t>
      </w:r>
      <w:bookmarkStart w:id="0" w:name="A18"/>
      <w:bookmarkEnd w:id="0"/>
      <w:r w:rsidRPr="007C5C2E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br/>
      </w:r>
      <w:r w:rsidRPr="007C5C2E"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  <w:br/>
        <w:t>Diseases of fish</w:t>
      </w:r>
    </w:p>
    <w:p w14:paraId="75E32B86" w14:textId="77777777" w:rsidR="00EF6899" w:rsidRPr="007C5C2E" w:rsidRDefault="00EF6899" w:rsidP="00EF6899">
      <w:pPr>
        <w:spacing w:after="480" w:line="240" w:lineRule="auto"/>
        <w:jc w:val="center"/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</w:pPr>
      <w:r w:rsidRPr="007C5C2E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t>CHAPTER 2.3.0.</w:t>
      </w:r>
      <w:r w:rsidRPr="007C5C2E">
        <w:rPr>
          <w:rFonts w:ascii="Ottawa" w:eastAsia="Times New Roman" w:hAnsi="Ottawa" w:cs="Times New Roman"/>
          <w:bCs/>
          <w:iCs/>
          <w:caps/>
          <w:spacing w:val="40"/>
          <w:sz w:val="24"/>
          <w:szCs w:val="24"/>
          <w:lang w:val="en-GB" w:bidi="en-US"/>
        </w:rPr>
        <w:br/>
      </w:r>
      <w:r w:rsidRPr="007C5C2E">
        <w:rPr>
          <w:rFonts w:ascii="Ottawa" w:eastAsia="Times New Roman" w:hAnsi="Ottawa" w:cs="Times New Roman"/>
          <w:b/>
          <w:bCs/>
          <w:iCs/>
          <w:caps/>
          <w:spacing w:val="40"/>
          <w:sz w:val="32"/>
          <w:szCs w:val="32"/>
          <w:lang w:val="en-GB" w:bidi="en-US"/>
        </w:rPr>
        <w:br/>
        <w:t>general information</w:t>
      </w:r>
    </w:p>
    <w:p w14:paraId="2709990F" w14:textId="77777777" w:rsidR="00EF6899" w:rsidRPr="007C5C2E" w:rsidRDefault="00EF6899" w:rsidP="00EF6899">
      <w:pPr>
        <w:spacing w:before="120" w:after="240" w:line="240" w:lineRule="auto"/>
        <w:jc w:val="center"/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</w:pPr>
      <w:r w:rsidRPr="007C5C2E"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  <w:t>. . .</w:t>
      </w:r>
    </w:p>
    <w:p w14:paraId="3641A526" w14:textId="77777777" w:rsidR="00EF6899" w:rsidRPr="007C5C2E" w:rsidRDefault="00EF6899" w:rsidP="00EF6899">
      <w:pPr>
        <w:spacing w:before="120" w:after="240" w:line="240" w:lineRule="auto"/>
        <w:jc w:val="center"/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</w:pPr>
      <w:r w:rsidRPr="007C5C2E"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  <w:t xml:space="preserve">B.  MATERIALS AND BIOLOGICAL PRODUCTS REQUIRED FOR THE </w:t>
      </w:r>
      <w:r w:rsidRPr="007C5C2E">
        <w:rPr>
          <w:rFonts w:ascii="Ottawa" w:eastAsia="Times New Roman" w:hAnsi="Ottawa" w:cs="Times New Roman"/>
          <w:b/>
          <w:bCs/>
          <w:caps/>
          <w:sz w:val="24"/>
          <w:szCs w:val="20"/>
          <w:lang w:val="en-GB" w:eastAsia="fr-FR"/>
        </w:rPr>
        <w:br/>
        <w:t>ISOLATION AND IDENTIFICATION OF FISH PATHOGENS</w:t>
      </w:r>
    </w:p>
    <w:p w14:paraId="0F696E56" w14:textId="77777777" w:rsidR="00EF6899" w:rsidRPr="007C5C2E" w:rsidRDefault="00EF6899" w:rsidP="00EF6899">
      <w:pPr>
        <w:spacing w:after="240" w:line="240" w:lineRule="auto"/>
        <w:ind w:left="851"/>
        <w:jc w:val="both"/>
        <w:rPr>
          <w:rFonts w:ascii="Arial" w:eastAsia="Times New Roman" w:hAnsi="Arial" w:cs="Times New Roman"/>
          <w:bCs/>
          <w:sz w:val="18"/>
          <w:lang w:val="en-IE"/>
        </w:rPr>
      </w:pPr>
      <w:r w:rsidRPr="007C5C2E">
        <w:rPr>
          <w:rFonts w:ascii="Arial" w:eastAsia="Times New Roman" w:hAnsi="Arial" w:cs="Times New Roman"/>
          <w:bCs/>
          <w:sz w:val="18"/>
          <w:lang w:val="en-IE"/>
        </w:rPr>
        <w:t>. . .</w:t>
      </w:r>
    </w:p>
    <w:p w14:paraId="5ABA9050" w14:textId="77777777" w:rsidR="00EF6899" w:rsidRPr="007C5C2E" w:rsidRDefault="00EF6899" w:rsidP="00EF6899">
      <w:pPr>
        <w:spacing w:after="240" w:line="240" w:lineRule="auto"/>
        <w:ind w:left="360"/>
        <w:jc w:val="both"/>
        <w:rPr>
          <w:rFonts w:ascii="Ottawa" w:eastAsia="MS Mincho" w:hAnsi="Ottawa" w:cs="Arial"/>
          <w:b/>
          <w:bCs/>
          <w:szCs w:val="20"/>
          <w:lang w:val="en-GB" w:eastAsia="fr-FR" w:bidi="en-US"/>
        </w:rPr>
      </w:pPr>
      <w:r w:rsidRPr="007C5C2E">
        <w:rPr>
          <w:rFonts w:ascii="Ottawa" w:eastAsia="MS Mincho" w:hAnsi="Ottawa" w:cs="Arial"/>
          <w:b/>
          <w:bCs/>
          <w:szCs w:val="20"/>
          <w:lang w:val="en-GB" w:eastAsia="fr-FR" w:bidi="en-US"/>
        </w:rPr>
        <w:t>2.</w:t>
      </w:r>
      <w:r w:rsidRPr="007C5C2E">
        <w:rPr>
          <w:rFonts w:ascii="Ottawa" w:eastAsia="MS Mincho" w:hAnsi="Ottawa" w:cs="Arial"/>
          <w:b/>
          <w:bCs/>
          <w:szCs w:val="20"/>
          <w:lang w:val="en-GB" w:eastAsia="fr-FR" w:bidi="en-US"/>
        </w:rPr>
        <w:tab/>
        <w:t>Techniques</w:t>
      </w:r>
    </w:p>
    <w:p w14:paraId="423F3A4F" w14:textId="77777777" w:rsidR="00EF6899" w:rsidRPr="007C5C2E" w:rsidRDefault="00EF6899" w:rsidP="00EF6899">
      <w:pPr>
        <w:spacing w:after="240" w:line="240" w:lineRule="auto"/>
        <w:ind w:left="851"/>
        <w:jc w:val="both"/>
        <w:rPr>
          <w:rFonts w:ascii="Arial" w:eastAsia="Times New Roman" w:hAnsi="Arial" w:cs="Times New Roman"/>
          <w:bCs/>
          <w:sz w:val="18"/>
          <w:lang w:val="en-IE" w:bidi="en-US"/>
        </w:rPr>
      </w:pPr>
      <w:r w:rsidRPr="007C5C2E">
        <w:rPr>
          <w:rFonts w:ascii="Arial" w:eastAsia="Times New Roman" w:hAnsi="Arial" w:cs="Times New Roman"/>
          <w:bCs/>
          <w:sz w:val="18"/>
          <w:lang w:val="en-IE" w:bidi="en-US"/>
        </w:rPr>
        <w:t>. . .</w:t>
      </w:r>
    </w:p>
    <w:p w14:paraId="0EACBC19" w14:textId="77777777" w:rsidR="00EF6899" w:rsidRPr="007C5C2E" w:rsidRDefault="00EF6899" w:rsidP="00EF6899">
      <w:pPr>
        <w:spacing w:after="240" w:line="240" w:lineRule="auto"/>
        <w:ind w:left="851" w:hanging="567"/>
        <w:jc w:val="both"/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</w:pPr>
      <w:r w:rsidRPr="007C5C2E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>2.5.</w:t>
      </w:r>
      <w:r w:rsidRPr="007C5C2E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ab/>
      </w:r>
      <w:bookmarkStart w:id="1" w:name="_Hlk84864775"/>
      <w:r w:rsidRPr="007C5C2E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>Use of molecular techniques for surveillance testing, confirmatory testing and diagnosis</w:t>
      </w:r>
      <w:bookmarkEnd w:id="1"/>
      <w:r w:rsidRPr="007C5C2E">
        <w:rPr>
          <w:rFonts w:ascii="Ottawa" w:eastAsia="MS Mincho" w:hAnsi="Ottawa" w:cs="Times New Roman"/>
          <w:b/>
          <w:sz w:val="21"/>
          <w:szCs w:val="20"/>
          <w:lang w:val="da-DK" w:eastAsia="da-DK" w:bidi="en-US"/>
        </w:rPr>
        <w:t xml:space="preserve"> (third paragraph)</w:t>
      </w:r>
    </w:p>
    <w:p w14:paraId="13B8C4EE" w14:textId="77777777" w:rsidR="00EF6899" w:rsidRPr="007C5C2E" w:rsidRDefault="00EF6899" w:rsidP="00EF6899">
      <w:pPr>
        <w:spacing w:after="240" w:line="240" w:lineRule="auto"/>
        <w:ind w:left="284"/>
        <w:jc w:val="both"/>
        <w:rPr>
          <w:rFonts w:ascii="Arial" w:eastAsia="FangSong_GB2312" w:hAnsi="Arial" w:cs="Times New Roman"/>
          <w:bCs/>
          <w:sz w:val="18"/>
          <w:lang w:val="en-IE"/>
        </w:rPr>
      </w:pPr>
      <w:r w:rsidRPr="007C5C2E">
        <w:rPr>
          <w:rFonts w:ascii="Arial" w:eastAsia="Times New Roman" w:hAnsi="Arial" w:cs="Times New Roman"/>
          <w:bCs/>
          <w:sz w:val="18"/>
          <w:lang w:val="en-IE"/>
        </w:rPr>
        <w:t xml:space="preserve">As with all PCR protocols, optimisation may be necessary depending on the reagents, equipment and the plasticware. PCR is prone to false-positive and false-negative results. </w:t>
      </w:r>
      <w:proofErr w:type="gramStart"/>
      <w:r w:rsidRPr="007C5C2E">
        <w:rPr>
          <w:rFonts w:ascii="Arial" w:eastAsia="Times New Roman" w:hAnsi="Arial" w:cs="Times New Roman"/>
          <w:bCs/>
          <w:sz w:val="18"/>
          <w:lang w:val="en-IE"/>
        </w:rPr>
        <w:t>False-positive results (negative samples giving a positive reaction),</w:t>
      </w:r>
      <w:proofErr w:type="gramEnd"/>
      <w:r w:rsidRPr="007C5C2E">
        <w:rPr>
          <w:rFonts w:ascii="Arial" w:eastAsia="Times New Roman" w:hAnsi="Arial" w:cs="Times New Roman"/>
          <w:bCs/>
          <w:sz w:val="18"/>
          <w:lang w:val="en-IE"/>
        </w:rPr>
        <w:t xml:space="preserve"> may arise from either product carryover from positive samples or, more commonly, from cross-contamination by PCR products from previous tests. Therefore, each assay and tissue extraction should include a negative control to rule out contamination. </w:t>
      </w:r>
      <w:bookmarkStart w:id="2" w:name="_Hlk84864585"/>
      <w:proofErr w:type="gramStart"/>
      <w:r w:rsidRPr="007C5C2E">
        <w:rPr>
          <w:rFonts w:ascii="Arial" w:eastAsia="FangSong_GB2312" w:hAnsi="Arial" w:cs="Times New Roman"/>
          <w:bCs/>
          <w:sz w:val="18"/>
          <w:lang w:val="en-IE"/>
        </w:rPr>
        <w:t>False-negative results (positive samples giving a negative result)</w:t>
      </w:r>
      <w:r w:rsidRPr="007C5C2E">
        <w:rPr>
          <w:rFonts w:ascii="Arial" w:eastAsia="FangSong_GB2312" w:hAnsi="Arial" w:cs="Times New Roman"/>
          <w:bCs/>
          <w:sz w:val="18"/>
          <w:u w:val="double"/>
          <w:lang w:val="en-IE"/>
        </w:rPr>
        <w:t>,</w:t>
      </w:r>
      <w:proofErr w:type="gramEnd"/>
      <w:r w:rsidRPr="007C5C2E">
        <w:rPr>
          <w:rFonts w:ascii="Arial" w:eastAsia="FangSong_GB2312" w:hAnsi="Arial" w:cs="Times New Roman"/>
          <w:bCs/>
          <w:sz w:val="18"/>
          <w:lang w:val="en-IE"/>
        </w:rPr>
        <w:t xml:space="preserve"> </w:t>
      </w:r>
      <w:r w:rsidRPr="007C5C2E"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>may</w:t>
      </w:r>
      <w:r w:rsidRPr="007C5C2E" w:rsidDel="0035627A"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 xml:space="preserve"> </w:t>
      </w:r>
      <w:r w:rsidRPr="007C5C2E">
        <w:rPr>
          <w:rFonts w:ascii="Arial" w:eastAsia="Times New Roman" w:hAnsi="Arial" w:cs="Arial"/>
          <w:color w:val="000000"/>
          <w:sz w:val="18"/>
          <w:szCs w:val="18"/>
          <w:u w:val="double"/>
          <w:lang w:val="en-IE"/>
        </w:rPr>
        <w:t>occur due to the presence of a new variant that is not recognised by the PCR primer/probe set</w:t>
      </w:r>
      <w:r w:rsidRPr="007C5C2E">
        <w:rPr>
          <w:rFonts w:ascii="Arial" w:eastAsia="FangSong_GB2312" w:hAnsi="Arial" w:cs="Times New Roman"/>
          <w:bCs/>
          <w:sz w:val="18"/>
          <w:lang w:val="en-IE"/>
        </w:rPr>
        <w:t xml:space="preserve">, </w:t>
      </w:r>
      <w:bookmarkEnd w:id="2"/>
      <w:r w:rsidRPr="007C5C2E">
        <w:rPr>
          <w:rFonts w:ascii="Arial" w:eastAsia="FangSong_GB2312" w:hAnsi="Arial" w:cs="Times New Roman"/>
          <w:sz w:val="18"/>
          <w:u w:val="double"/>
          <w:lang w:val="en-IE"/>
        </w:rPr>
        <w:t>which</w:t>
      </w:r>
      <w:r w:rsidRPr="007C5C2E">
        <w:rPr>
          <w:rFonts w:ascii="Arial" w:eastAsia="FangSong_GB2312" w:hAnsi="Arial" w:cs="Times New Roman"/>
          <w:bCs/>
          <w:sz w:val="18"/>
          <w:lang w:val="en-IE"/>
        </w:rPr>
        <w:t xml:space="preserve"> may lead to unwanted transmission of pathogens and biosecurity failure. </w:t>
      </w:r>
      <w:r w:rsidRPr="007C5C2E">
        <w:rPr>
          <w:rFonts w:ascii="Arial" w:eastAsia="FangSong_GB2312" w:hAnsi="Arial" w:cs="Times New Roman"/>
          <w:bCs/>
          <w:sz w:val="18"/>
          <w:highlight w:val="yellow"/>
          <w:u w:val="double"/>
        </w:rPr>
        <w:t>Negative molecular results should be investigated further when clinical signs indicate the presence of a specific disease, or other positive test results have indicated that a false negative result may have been obtained.</w:t>
      </w:r>
    </w:p>
    <w:p w14:paraId="32679AA1" w14:textId="77777777" w:rsidR="00EF6899" w:rsidRPr="007C5C2E" w:rsidRDefault="00EF6899" w:rsidP="00EF6899">
      <w:pPr>
        <w:spacing w:before="240" w:after="0" w:line="240" w:lineRule="auto"/>
        <w:ind w:left="357" w:hanging="357"/>
        <w:jc w:val="center"/>
        <w:rPr>
          <w:rFonts w:ascii="Ottawa" w:eastAsia="Calibri" w:hAnsi="Ottawa" w:cs="Times New Roman"/>
          <w:sz w:val="18"/>
          <w:szCs w:val="18"/>
          <w:lang w:val="en-GB"/>
        </w:rPr>
      </w:pPr>
      <w:r w:rsidRPr="007C5C2E">
        <w:rPr>
          <w:rFonts w:ascii="Ottawa" w:eastAsia="Calibri" w:hAnsi="Ottawa" w:cs="Times New Roman"/>
          <w:sz w:val="18"/>
          <w:szCs w:val="18"/>
          <w:lang w:val="en-GB"/>
        </w:rPr>
        <w:t>[…]</w:t>
      </w:r>
    </w:p>
    <w:p w14:paraId="4BA3E6DB" w14:textId="77777777" w:rsidR="00EF6899" w:rsidRPr="007C5C2E" w:rsidRDefault="00EF6899" w:rsidP="00EF6899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7C5C2E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69DC4DA0" w14:textId="77777777" w:rsidR="00EF6899" w:rsidRPr="007C5C2E" w:rsidRDefault="00EF6899" w:rsidP="00EF6899"/>
    <w:p w14:paraId="2B723CB9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99"/>
    <w:rsid w:val="00C221F6"/>
    <w:rsid w:val="00EF6899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7C22"/>
  <w15:chartTrackingRefBased/>
  <w15:docId w15:val="{39AFE2B7-1E65-4524-B5FB-1050C7C8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Egrie, Paul G - APHIS</dc:creator>
  <cp:keywords/>
  <dc:description/>
  <cp:lastModifiedBy>Egrie, Paul G - APHIS</cp:lastModifiedBy>
  <cp:revision>2</cp:revision>
  <dcterms:created xsi:type="dcterms:W3CDTF">2022-04-01T00:04:00Z</dcterms:created>
  <dcterms:modified xsi:type="dcterms:W3CDTF">2022-04-03T00:52:00Z</dcterms:modified>
</cp:coreProperties>
</file>